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3D" w:rsidRPr="00F1284F" w:rsidRDefault="006D383D" w:rsidP="006D383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312"/>
        <w:gridCol w:w="3748"/>
      </w:tblGrid>
      <w:tr w:rsidR="001B70B5" w:rsidTr="001B70B5">
        <w:tc>
          <w:tcPr>
            <w:tcW w:w="3290" w:type="dxa"/>
          </w:tcPr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Отчёт рассмотрен на общем собрании  </w:t>
            </w:r>
          </w:p>
          <w:p w:rsidR="001B70B5" w:rsidRDefault="00A80B1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АНО ДПО «ЦПК «Становление» </w:t>
            </w:r>
            <w:r w:rsidR="00AB16C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16.04.2018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г.</w:t>
            </w:r>
          </w:p>
          <w:p w:rsidR="001B70B5" w:rsidRDefault="001B70B5" w:rsidP="00A80B15">
            <w:pPr>
              <w:rPr>
                <w:lang w:eastAsia="ru-RU"/>
              </w:rPr>
            </w:pPr>
            <w:r w:rsidRPr="008E2EC1">
              <w:t>Протокол</w:t>
            </w:r>
            <w:r>
              <w:rPr>
                <w:lang w:eastAsia="ru-RU"/>
              </w:rPr>
              <w:t xml:space="preserve"> №</w:t>
            </w:r>
            <w:r w:rsidR="00904AB5">
              <w:rPr>
                <w:lang w:eastAsia="ru-RU"/>
              </w:rPr>
              <w:t xml:space="preserve"> 1</w:t>
            </w:r>
          </w:p>
        </w:tc>
        <w:tc>
          <w:tcPr>
            <w:tcW w:w="2312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УТВЕРЖДАЮ</w:t>
            </w:r>
          </w:p>
          <w:p w:rsidR="001B70B5" w:rsidRDefault="00904A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Приказ №</w:t>
            </w:r>
            <w:r w:rsidR="00142309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E978F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</w:t>
            </w:r>
            <w:r w:rsidR="002C4AC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142309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17.04</w:t>
            </w:r>
            <w:r w:rsidR="002C4AC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. </w:t>
            </w:r>
            <w:r w:rsidR="00142309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2018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</w:t>
            </w:r>
          </w:p>
          <w:p w:rsidR="001B70B5" w:rsidRDefault="00904A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иректор</w:t>
            </w:r>
          </w:p>
          <w:p w:rsidR="001B70B5" w:rsidRPr="00415316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АНО ДПО «ЦПК «Становление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</w:t>
            </w:r>
          </w:p>
          <w:p w:rsidR="001B70B5" w:rsidRPr="00415316" w:rsidRDefault="006C245F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_________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В.А. Селянинова</w:t>
            </w:r>
          </w:p>
          <w:p w:rsidR="001B70B5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6D383D" w:rsidRDefault="004153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ОТЧЕТ О САМООБСЛЕДОВАНИИ</w:t>
      </w:r>
    </w:p>
    <w:p w:rsidR="00415316" w:rsidRPr="006D383D" w:rsidRDefault="00364D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Автономной некоммерческой организации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дополнительного профессионального образования «</w:t>
      </w: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Центр по</w:t>
      </w:r>
      <w:r w:rsidR="00AA27BE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вышения квалификации «Становление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»</w:t>
      </w:r>
    </w:p>
    <w:p w:rsidR="00415316" w:rsidRPr="006D383D" w:rsidRDefault="00901C6B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 2017</w:t>
      </w:r>
      <w:r w:rsid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год</w:t>
      </w: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Pr="00415316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476E3" w:rsidRDefault="009476E3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415316" w:rsidRDefault="00967C9B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 Пермь 201</w:t>
      </w:r>
      <w:r w:rsidR="00901C6B" w:rsidRPr="00D1752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333C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</w:t>
      </w:r>
    </w:p>
    <w:p w:rsidR="00C8641D" w:rsidRDefault="00C8641D" w:rsidP="00415316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8641D" w:rsidRPr="00640123" w:rsidRDefault="00C20937" w:rsidP="00415316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Содержание:</w:t>
      </w:r>
    </w:p>
    <w:p w:rsidR="00C8641D" w:rsidRPr="00640123" w:rsidRDefault="00C8641D" w:rsidP="00C8641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Общие сведения об образовательной организации.</w:t>
      </w:r>
    </w:p>
    <w:p w:rsidR="00C8641D" w:rsidRPr="00640123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Система управления в образовательной Организации</w:t>
      </w:r>
      <w:r w:rsidR="00C8641D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C8641D" w:rsidRPr="00640123" w:rsidRDefault="00C8641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Планируемые результаты деятельности.</w:t>
      </w:r>
    </w:p>
    <w:p w:rsidR="00C8641D" w:rsidRPr="00640123" w:rsidRDefault="00C8641D" w:rsidP="00C8641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Образовательная деятельность</w:t>
      </w:r>
    </w:p>
    <w:p w:rsidR="00C8641D" w:rsidRPr="00640123" w:rsidRDefault="00C8641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Информация о реализуемых образовательных программах;</w:t>
      </w:r>
    </w:p>
    <w:p w:rsidR="00C8641D" w:rsidRPr="00640123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Система контроля качества обучения.</w:t>
      </w:r>
    </w:p>
    <w:p w:rsidR="005951FD" w:rsidRPr="00640123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Научно-методическая деятельность.</w:t>
      </w:r>
    </w:p>
    <w:p w:rsidR="00C8641D" w:rsidRPr="00640123" w:rsidRDefault="00C447F4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Материально-техническое, у</w:t>
      </w:r>
      <w:r w:rsidR="00C8641D" w:rsidRPr="00640123">
        <w:rPr>
          <w:rFonts w:ascii="Times New Roman" w:eastAsia="Times New Roman" w:hAnsi="Times New Roman" w:cs="Times New Roman"/>
          <w:color w:val="1E1E1E"/>
          <w:lang w:eastAsia="ru-RU"/>
        </w:rPr>
        <w:t>чебно-метод</w:t>
      </w:r>
      <w:r w:rsidR="00BA3BEE" w:rsidRPr="00640123">
        <w:rPr>
          <w:rFonts w:ascii="Times New Roman" w:eastAsia="Times New Roman" w:hAnsi="Times New Roman" w:cs="Times New Roman"/>
          <w:color w:val="1E1E1E"/>
          <w:lang w:eastAsia="ru-RU"/>
        </w:rPr>
        <w:t>и</w:t>
      </w:r>
      <w:r w:rsidR="005951FD" w:rsidRPr="00640123">
        <w:rPr>
          <w:rFonts w:ascii="Times New Roman" w:eastAsia="Times New Roman" w:hAnsi="Times New Roman" w:cs="Times New Roman"/>
          <w:color w:val="1E1E1E"/>
          <w:lang w:eastAsia="ru-RU"/>
        </w:rPr>
        <w:t>ческое и библиотечно-информационное обеспечение</w:t>
      </w:r>
      <w:r w:rsidR="00BA3BEE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реализуемых образовательных программ</w:t>
      </w:r>
      <w:r w:rsidR="005951FD"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5951FD" w:rsidRPr="00640123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Сведения об образовании и повышении квалификации сотрудников, ведущих образовательные программы</w:t>
      </w:r>
    </w:p>
    <w:p w:rsidR="005951FD" w:rsidRPr="00640123" w:rsidRDefault="0047639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Анализ контингента.</w:t>
      </w:r>
    </w:p>
    <w:p w:rsidR="00BA3BEE" w:rsidRPr="00640123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Международная деятельность Организации.</w:t>
      </w:r>
    </w:p>
    <w:p w:rsidR="00BA3BEE" w:rsidRPr="00640123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Показатели деятельности Организации.</w:t>
      </w:r>
    </w:p>
    <w:p w:rsidR="00BA3BEE" w:rsidRPr="00640123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Социально-значимые проекты, реализуемые организацией.</w:t>
      </w:r>
    </w:p>
    <w:p w:rsidR="005951FD" w:rsidRPr="00640123" w:rsidRDefault="005951FD" w:rsidP="00BA3BEE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А</w:t>
      </w:r>
      <w:r w:rsidR="0046317B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нализ и выводы </w:t>
      </w:r>
      <w:proofErr w:type="spellStart"/>
      <w:r w:rsidR="0046317B"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самообследования</w:t>
      </w:r>
      <w:proofErr w:type="spellEnd"/>
      <w:r w:rsidR="0046317B"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5A0B8E" w:rsidRPr="00640123" w:rsidRDefault="005A0B8E" w:rsidP="005A0B8E">
      <w:pPr>
        <w:pStyle w:val="a4"/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</w:p>
    <w:p w:rsidR="00367D67" w:rsidRPr="00640123" w:rsidRDefault="00367D67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     </w:t>
      </w:r>
      <w:proofErr w:type="spellStart"/>
      <w:r w:rsidR="002B29D4"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Самообследование</w:t>
      </w:r>
      <w:proofErr w:type="spellEnd"/>
      <w:r w:rsidR="002B29D4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АНО ДПО «ЦПК «Становление»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проведено в соответствии с</w:t>
      </w:r>
    </w:p>
    <w:p w:rsidR="00367D67" w:rsidRPr="00640123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367D67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-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пунктом 3 части 2 статьи 29 Федерального закона от 29 декабря 2012 года № 273-ФЗ «Об обра</w:t>
      </w:r>
      <w:r w:rsidR="00367D67" w:rsidRPr="00640123">
        <w:rPr>
          <w:rFonts w:ascii="Times New Roman" w:eastAsia="Times New Roman" w:hAnsi="Times New Roman" w:cs="Times New Roman"/>
          <w:color w:val="1E1E1E"/>
          <w:lang w:eastAsia="ru-RU"/>
        </w:rPr>
        <w:t>зовании в Российской Федерации»;</w:t>
      </w:r>
    </w:p>
    <w:p w:rsidR="00367D67" w:rsidRPr="00640123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367D67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-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самообследования</w:t>
      </w:r>
      <w:proofErr w:type="spellEnd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образовательной организацией»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367D67" w:rsidRPr="00640123" w:rsidRDefault="00E01EBB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-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Постановлением Правительст</w:t>
      </w:r>
      <w:r w:rsidR="0024175F" w:rsidRPr="00640123">
        <w:rPr>
          <w:rFonts w:ascii="Times New Roman" w:eastAsia="Times New Roman" w:hAnsi="Times New Roman" w:cs="Times New Roman"/>
          <w:color w:val="1E1E1E"/>
          <w:lang w:eastAsia="ru-RU"/>
        </w:rPr>
        <w:t>ва Российской Федерации от 10.07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>об образовательной организации»;</w:t>
      </w:r>
    </w:p>
    <w:p w:rsidR="00367D67" w:rsidRPr="00640123" w:rsidRDefault="00E01EBB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-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При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>казом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Федеральной службы по надзору в сфере образования и науки от 29.05.2014г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нём информации»</w:t>
      </w:r>
      <w:r w:rsidR="004A52FD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  <w:r w:rsidR="0024175F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</w:p>
    <w:p w:rsidR="004A52FD" w:rsidRPr="00640123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Приказом</w:t>
      </w:r>
      <w:r w:rsidR="0024175F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="0024175F"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самообследованию</w:t>
      </w:r>
      <w:proofErr w:type="spellEnd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15316" w:rsidRPr="00640123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Положение</w:t>
      </w:r>
      <w:r w:rsidR="002B29D4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м о </w:t>
      </w:r>
      <w:proofErr w:type="spellStart"/>
      <w:r w:rsidR="002B29D4"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самообследовании</w:t>
      </w:r>
      <w:proofErr w:type="spellEnd"/>
      <w:r w:rsidR="002B29D4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АНО ДПО «ЦПК «Становление»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4A52FD" w:rsidRPr="00640123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</w:p>
    <w:p w:rsidR="00415316" w:rsidRPr="00640123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>Цел</w:t>
      </w:r>
      <w:r w:rsidR="004A52FD"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 xml:space="preserve">ью </w:t>
      </w:r>
      <w:proofErr w:type="spellStart"/>
      <w:r w:rsidR="004A52FD"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>самообследования</w:t>
      </w:r>
      <w:proofErr w:type="spellEnd"/>
      <w:r w:rsidR="004A52FD"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 xml:space="preserve">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является открытость и доступность информации об образовательной деяте</w:t>
      </w:r>
      <w:r w:rsidR="007E0973" w:rsidRPr="00640123">
        <w:rPr>
          <w:rFonts w:ascii="Times New Roman" w:eastAsia="Times New Roman" w:hAnsi="Times New Roman" w:cs="Times New Roman"/>
          <w:color w:val="1E1E1E"/>
          <w:lang w:eastAsia="ru-RU"/>
        </w:rPr>
        <w:t>льности АНО ДПО «ЦПК «Становление».</w:t>
      </w:r>
    </w:p>
    <w:p w:rsidR="00C75BBC" w:rsidRPr="00640123" w:rsidRDefault="00C75BBC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 xml:space="preserve">Задачи </w:t>
      </w:r>
      <w:proofErr w:type="spellStart"/>
      <w:r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>самообследования</w:t>
      </w:r>
      <w:proofErr w:type="spellEnd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:</w:t>
      </w:r>
    </w:p>
    <w:p w:rsidR="00C75BBC" w:rsidRPr="00640123" w:rsidRDefault="00C75BBC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-анализ и оценка соответствия фактических условий реализации образовательных программ лицензионным требованиям;</w:t>
      </w:r>
    </w:p>
    <w:p w:rsidR="001930F3" w:rsidRPr="00640123" w:rsidRDefault="001930F3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востребованность образовательных услуг Центра;</w:t>
      </w:r>
    </w:p>
    <w:p w:rsidR="001930F3" w:rsidRPr="00640123" w:rsidRDefault="001930F3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выполнение Миссии, обозначенной Центром;</w:t>
      </w:r>
    </w:p>
    <w:p w:rsidR="00C75BBC" w:rsidRPr="00640123" w:rsidRDefault="00C75BBC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определение направлений дальнейшего развития Центра.</w:t>
      </w:r>
    </w:p>
    <w:p w:rsidR="00415316" w:rsidRPr="00640123" w:rsidRDefault="00415316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Для проведения </w:t>
      </w:r>
      <w:proofErr w:type="spellStart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самообследования</w:t>
      </w:r>
      <w:proofErr w:type="spellEnd"/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была создана экспертная группа, в состав которой 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были включены: </w:t>
      </w:r>
    </w:p>
    <w:p w:rsidR="00FB55CE" w:rsidRPr="00640123" w:rsidRDefault="00FB55CE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>Селянинова В.А., директор;</w:t>
      </w:r>
    </w:p>
    <w:p w:rsidR="00FB55CE" w:rsidRPr="00640123" w:rsidRDefault="001930F3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 xml:space="preserve">Леденцова Е.А., </w:t>
      </w:r>
      <w:r w:rsidR="00FB55CE" w:rsidRPr="00640123">
        <w:rPr>
          <w:rFonts w:ascii="Times New Roman" w:eastAsia="Times New Roman" w:hAnsi="Times New Roman" w:cs="Times New Roman"/>
          <w:lang w:eastAsia="ru-RU"/>
        </w:rPr>
        <w:t>заместитель директора по маркетингу и развитию;</w:t>
      </w:r>
    </w:p>
    <w:p w:rsidR="00967C9B" w:rsidRPr="00640123" w:rsidRDefault="00967C9B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40123">
        <w:rPr>
          <w:rFonts w:ascii="Times New Roman" w:eastAsia="Times New Roman" w:hAnsi="Times New Roman" w:cs="Times New Roman"/>
          <w:lang w:eastAsia="ru-RU"/>
        </w:rPr>
        <w:t>Долинин</w:t>
      </w:r>
      <w:proofErr w:type="spellEnd"/>
      <w:r w:rsidRPr="00640123">
        <w:rPr>
          <w:rFonts w:ascii="Times New Roman" w:eastAsia="Times New Roman" w:hAnsi="Times New Roman" w:cs="Times New Roman"/>
          <w:lang w:eastAsia="ru-RU"/>
        </w:rPr>
        <w:t xml:space="preserve"> А.А., старший инженер по обучению;</w:t>
      </w:r>
    </w:p>
    <w:p w:rsidR="00FB55CE" w:rsidRPr="00640123" w:rsidRDefault="00FB55CE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>Белослудцева О.Ю., главный бухгалтер</w:t>
      </w:r>
    </w:p>
    <w:p w:rsidR="006D383D" w:rsidRPr="00640123" w:rsidRDefault="006D383D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15316" w:rsidRPr="00640123" w:rsidRDefault="00415316" w:rsidP="001930F3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Основные результаты </w:t>
      </w:r>
      <w:proofErr w:type="spellStart"/>
      <w:r w:rsidRPr="00640123">
        <w:rPr>
          <w:rFonts w:ascii="Times New Roman" w:eastAsia="Times New Roman" w:hAnsi="Times New Roman" w:cs="Times New Roman"/>
          <w:b/>
          <w:color w:val="1E1E1E"/>
          <w:lang w:eastAsia="ru-RU"/>
        </w:rPr>
        <w:t>самообследования</w:t>
      </w:r>
      <w:proofErr w:type="spellEnd"/>
    </w:p>
    <w:p w:rsidR="00415316" w:rsidRPr="00640123" w:rsidRDefault="00415316" w:rsidP="001930F3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1. Общие сведения</w:t>
      </w:r>
      <w:r w:rsidR="00332E12" w:rsidRPr="0064012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 xml:space="preserve"> об образовательной организации</w:t>
      </w:r>
      <w:r w:rsidRPr="0064012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.</w:t>
      </w:r>
    </w:p>
    <w:p w:rsidR="00415316" w:rsidRPr="00640123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 xml:space="preserve"> 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>А</w:t>
      </w:r>
      <w:r w:rsidR="00FB5F25" w:rsidRPr="00640123">
        <w:rPr>
          <w:rFonts w:ascii="Times New Roman" w:eastAsia="Times New Roman" w:hAnsi="Times New Roman" w:cs="Times New Roman"/>
          <w:color w:val="1E1E1E"/>
          <w:lang w:eastAsia="ru-RU"/>
        </w:rPr>
        <w:t>втономная некоммерческая организация дополнительного профессионального образования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«Ц</w:t>
      </w:r>
      <w:r w:rsidR="00FB5F25" w:rsidRPr="00640123">
        <w:rPr>
          <w:rFonts w:ascii="Times New Roman" w:eastAsia="Times New Roman" w:hAnsi="Times New Roman" w:cs="Times New Roman"/>
          <w:color w:val="1E1E1E"/>
          <w:lang w:eastAsia="ru-RU"/>
        </w:rPr>
        <w:t>ентр повышения квалификации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«Становление»</w:t>
      </w:r>
      <w:r w:rsidR="00FB5F25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(далее ЦПК «Становление», Центр)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является образовательной организацией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>,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реализующей дополнительные профессиональное образовательные программы (повышения квалификации</w:t>
      </w:r>
      <w:r w:rsidR="00FC5658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и профессиональной подготовки)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  <w:r w:rsidR="00FB5F25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Форма-некоммерческая организация.</w:t>
      </w:r>
    </w:p>
    <w:p w:rsidR="00415316" w:rsidRPr="00640123" w:rsidRDefault="00FC5658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ЦПК «Становление»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действует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решениями органов управления </w:t>
      </w:r>
      <w:r w:rsidR="00FB5F25" w:rsidRPr="00640123">
        <w:rPr>
          <w:rFonts w:ascii="Times New Roman" w:eastAsia="Times New Roman" w:hAnsi="Times New Roman" w:cs="Times New Roman"/>
          <w:color w:val="1E1E1E"/>
          <w:lang w:eastAsia="ru-RU"/>
        </w:rPr>
        <w:t>Центра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,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приказами генерального директора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и внутренними организационно-распорядительными и но</w:t>
      </w:r>
      <w:r w:rsidR="00332E12" w:rsidRPr="00640123">
        <w:rPr>
          <w:rFonts w:ascii="Times New Roman" w:eastAsia="Times New Roman" w:hAnsi="Times New Roman" w:cs="Times New Roman"/>
          <w:color w:val="1E1E1E"/>
          <w:lang w:eastAsia="ru-RU"/>
        </w:rPr>
        <w:t>рмативными локальными актами, регламентирующими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ведение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образовательной деятельности.</w:t>
      </w:r>
    </w:p>
    <w:p w:rsidR="00415316" w:rsidRPr="00640123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bookmarkStart w:id="0" w:name="bookmark2"/>
      <w:r w:rsidRPr="00640123">
        <w:rPr>
          <w:rFonts w:ascii="Times New Roman" w:eastAsia="Times New Roman" w:hAnsi="Times New Roman" w:cs="Times New Roman"/>
          <w:b/>
          <w:bCs/>
          <w:color w:val="7B96D6"/>
          <w:lang w:eastAsia="ru-RU"/>
        </w:rPr>
        <w:t>Основные сведения</w:t>
      </w:r>
      <w:bookmarkEnd w:id="0"/>
    </w:p>
    <w:p w:rsidR="00415316" w:rsidRPr="00640123" w:rsidRDefault="00C210C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bCs/>
          <w:lang w:eastAsia="ru-RU"/>
        </w:rPr>
        <w:t>ОГРН 1125900002029</w:t>
      </w:r>
    </w:p>
    <w:p w:rsidR="00415316" w:rsidRPr="00640123" w:rsidRDefault="00C210C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bCs/>
          <w:lang w:eastAsia="ru-RU"/>
        </w:rPr>
        <w:t>ИНН/КПП 5905994911\590401001</w:t>
      </w:r>
    </w:p>
    <w:p w:rsidR="00A65740" w:rsidRPr="00640123" w:rsidRDefault="00A6574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>Центр создан в 2012году</w:t>
      </w:r>
      <w:r w:rsidR="00484FB9" w:rsidRPr="0064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177C" w:rsidRPr="00640123">
        <w:rPr>
          <w:rFonts w:ascii="Times New Roman" w:eastAsia="Times New Roman" w:hAnsi="Times New Roman" w:cs="Times New Roman"/>
          <w:lang w:eastAsia="ru-RU"/>
        </w:rPr>
        <w:t>Предмет - деятельность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4553" w:rsidRPr="00640123">
        <w:rPr>
          <w:rFonts w:ascii="Times New Roman" w:eastAsia="Times New Roman" w:hAnsi="Times New Roman" w:cs="Times New Roman"/>
          <w:lang w:eastAsia="ru-RU"/>
        </w:rPr>
        <w:t>в сфере образования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.   Центр осуществляет образовательную деятельность на основании бессрочной </w:t>
      </w:r>
      <w:r w:rsidR="009B7968" w:rsidRPr="00640123">
        <w:rPr>
          <w:rFonts w:ascii="Times New Roman" w:eastAsia="Times New Roman" w:hAnsi="Times New Roman" w:cs="Times New Roman"/>
          <w:lang w:eastAsia="ru-RU"/>
        </w:rPr>
        <w:t>Лицензии59Л01 №</w:t>
      </w:r>
      <w:r w:rsidR="00484FB9" w:rsidRPr="00640123">
        <w:rPr>
          <w:rFonts w:ascii="Times New Roman" w:eastAsia="Times New Roman" w:hAnsi="Times New Roman" w:cs="Times New Roman"/>
          <w:lang w:eastAsia="ru-RU"/>
        </w:rPr>
        <w:t>0003752</w:t>
      </w:r>
      <w:r w:rsidR="000D3AF3" w:rsidRPr="006401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4FB9" w:rsidRPr="00640123">
        <w:rPr>
          <w:rFonts w:ascii="Times New Roman" w:eastAsia="Times New Roman" w:hAnsi="Times New Roman" w:cs="Times New Roman"/>
          <w:lang w:eastAsia="ru-RU"/>
        </w:rPr>
        <w:t>от 31марта 2017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года, выданной 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>Государственной инспекцией по надзору и контролю в сфере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образования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Пермского края.</w:t>
      </w:r>
    </w:p>
    <w:p w:rsidR="008C177C" w:rsidRPr="00640123" w:rsidRDefault="008C17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Центр имеет свой товарный </w:t>
      </w:r>
      <w:r w:rsidRPr="00640123">
        <w:rPr>
          <w:rFonts w:ascii="Times New Roman" w:eastAsia="Times New Roman" w:hAnsi="Times New Roman" w:cs="Times New Roman"/>
          <w:lang w:eastAsia="ru-RU"/>
        </w:rPr>
        <w:t>знак (Свидетельство</w:t>
      </w:r>
      <w:r w:rsidR="003B54DE" w:rsidRPr="00640123">
        <w:rPr>
          <w:rFonts w:ascii="Times New Roman" w:eastAsia="Times New Roman" w:hAnsi="Times New Roman" w:cs="Times New Roman"/>
          <w:lang w:eastAsia="ru-RU"/>
        </w:rPr>
        <w:t xml:space="preserve"> №661189 от 30.12.2015г)</w:t>
      </w:r>
    </w:p>
    <w:p w:rsidR="008C177C" w:rsidRPr="00640123" w:rsidRDefault="007D4CB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color w:val="C00000"/>
          <w:lang w:eastAsia="ru-RU"/>
        </w:rPr>
        <w:t xml:space="preserve">      </w:t>
      </w:r>
      <w:r w:rsidR="008C177C" w:rsidRPr="00640123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="00E75A8D" w:rsidRPr="00640123">
        <w:rPr>
          <w:rFonts w:ascii="Times New Roman" w:eastAsia="Times New Roman" w:hAnsi="Times New Roman" w:cs="Times New Roman"/>
          <w:lang w:eastAsia="ru-RU"/>
        </w:rPr>
        <w:t>реализует программы дополнительного профессио</w:t>
      </w:r>
      <w:r w:rsidRPr="00640123">
        <w:rPr>
          <w:rFonts w:ascii="Times New Roman" w:eastAsia="Times New Roman" w:hAnsi="Times New Roman" w:cs="Times New Roman"/>
          <w:lang w:eastAsia="ru-RU"/>
        </w:rPr>
        <w:t>нального образования,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Pr="00640123">
        <w:rPr>
          <w:rFonts w:ascii="Times New Roman" w:eastAsia="Times New Roman" w:hAnsi="Times New Roman" w:cs="Times New Roman"/>
          <w:lang w:eastAsia="ru-RU"/>
        </w:rPr>
        <w:t>ы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 xml:space="preserve"> профессиональной подготовки, 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занимается 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>совершенствование</w:t>
      </w:r>
      <w:r w:rsidRPr="00640123">
        <w:rPr>
          <w:rFonts w:ascii="Times New Roman" w:eastAsia="Times New Roman" w:hAnsi="Times New Roman" w:cs="Times New Roman"/>
          <w:lang w:eastAsia="ru-RU"/>
        </w:rPr>
        <w:t>м,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 xml:space="preserve"> получение новых компетенций, необходимых для профессиональной деятельности, 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осуществляет </w:t>
      </w:r>
      <w:r w:rsidR="00E43EFA" w:rsidRPr="00640123">
        <w:rPr>
          <w:rFonts w:ascii="Times New Roman" w:eastAsia="Times New Roman" w:hAnsi="Times New Roman" w:cs="Times New Roman"/>
          <w:lang w:eastAsia="ru-RU"/>
        </w:rPr>
        <w:t>подготовку к выполнению новых трудовых функций, разрабатывает и издаёт учебно-методические материалы.</w:t>
      </w:r>
    </w:p>
    <w:p w:rsidR="00A65740" w:rsidRPr="00640123" w:rsidRDefault="00A65740" w:rsidP="00D3793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640123">
        <w:rPr>
          <w:b/>
          <w:i/>
          <w:color w:val="1E1E1E"/>
          <w:sz w:val="22"/>
          <w:szCs w:val="22"/>
        </w:rPr>
        <w:t>Видение Центра:</w:t>
      </w:r>
      <w:r w:rsidRPr="00640123">
        <w:rPr>
          <w:color w:val="1E1E1E"/>
          <w:sz w:val="22"/>
          <w:szCs w:val="22"/>
        </w:rPr>
        <w:t xml:space="preserve"> Статусная образовательная организация, осуществляющая подготовку и переподготовку </w:t>
      </w:r>
      <w:r w:rsidRPr="00640123">
        <w:rPr>
          <w:rFonts w:eastAsia="+mn-ea"/>
          <w:bCs/>
          <w:color w:val="000000"/>
          <w:kern w:val="24"/>
          <w:sz w:val="22"/>
          <w:szCs w:val="22"/>
        </w:rPr>
        <w:t xml:space="preserve">квалифицированных кадров для промышленных предприятий </w:t>
      </w:r>
    </w:p>
    <w:p w:rsidR="00A65740" w:rsidRPr="00640123" w:rsidRDefault="00A65740" w:rsidP="00D37936">
      <w:pPr>
        <w:pStyle w:val="a5"/>
        <w:spacing w:before="0" w:beforeAutospacing="0" w:after="0" w:afterAutospacing="0"/>
        <w:jc w:val="both"/>
        <w:rPr>
          <w:rFonts w:eastAsia="+mn-ea"/>
          <w:bCs/>
          <w:color w:val="000000"/>
          <w:kern w:val="24"/>
          <w:sz w:val="22"/>
          <w:szCs w:val="22"/>
        </w:rPr>
      </w:pPr>
      <w:r w:rsidRPr="00640123">
        <w:rPr>
          <w:rFonts w:eastAsia="+mn-ea"/>
          <w:bCs/>
          <w:color w:val="000000"/>
          <w:kern w:val="24"/>
          <w:sz w:val="22"/>
          <w:szCs w:val="22"/>
        </w:rPr>
        <w:t>Российской Федерации и стран СНГ.</w:t>
      </w:r>
    </w:p>
    <w:p w:rsidR="00A65740" w:rsidRPr="00640123" w:rsidRDefault="00A65740" w:rsidP="00D37936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640123">
        <w:rPr>
          <w:rFonts w:eastAsia="+mn-ea"/>
          <w:b/>
          <w:bCs/>
          <w:i/>
          <w:color w:val="000000"/>
          <w:kern w:val="24"/>
          <w:sz w:val="22"/>
          <w:szCs w:val="22"/>
        </w:rPr>
        <w:t>Миссия Центра:</w:t>
      </w:r>
      <w:r w:rsidRPr="00640123">
        <w:rPr>
          <w:rFonts w:eastAsia="+mn-ea"/>
          <w:bCs/>
          <w:color w:val="000000"/>
          <w:kern w:val="24"/>
          <w:sz w:val="22"/>
          <w:szCs w:val="22"/>
        </w:rPr>
        <w:t xml:space="preserve"> Возрождение промышленности России. Формирование машиностроителя нового поколения.</w:t>
      </w:r>
    </w:p>
    <w:p w:rsidR="00415316" w:rsidRPr="00640123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Юридический и фактический адрес: </w:t>
      </w:r>
      <w:r w:rsidR="00FC5658" w:rsidRPr="00640123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614025, г. Пермь, ул. </w:t>
      </w:r>
      <w:proofErr w:type="spellStart"/>
      <w:r w:rsidR="00FC5658" w:rsidRPr="00640123">
        <w:rPr>
          <w:rFonts w:ascii="Times New Roman" w:eastAsia="Times New Roman" w:hAnsi="Times New Roman" w:cs="Times New Roman"/>
          <w:bCs/>
          <w:color w:val="1E1E1E"/>
          <w:lang w:eastAsia="ru-RU"/>
        </w:rPr>
        <w:t>Бродовский</w:t>
      </w:r>
      <w:proofErr w:type="spellEnd"/>
      <w:r w:rsidR="00FC5658" w:rsidRPr="00640123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 тракт, 5, </w:t>
      </w:r>
      <w:proofErr w:type="spellStart"/>
      <w:r w:rsidR="00FC5658" w:rsidRPr="00640123">
        <w:rPr>
          <w:rFonts w:ascii="Times New Roman" w:eastAsia="Times New Roman" w:hAnsi="Times New Roman" w:cs="Times New Roman"/>
          <w:bCs/>
          <w:color w:val="1E1E1E"/>
          <w:lang w:eastAsia="ru-RU"/>
        </w:rPr>
        <w:t>корп.б</w:t>
      </w:r>
      <w:proofErr w:type="spellEnd"/>
      <w:r w:rsidRPr="00640123">
        <w:rPr>
          <w:rFonts w:ascii="Times New Roman" w:eastAsia="Times New Roman" w:hAnsi="Times New Roman" w:cs="Times New Roman"/>
          <w:bCs/>
          <w:color w:val="1E1E1E"/>
          <w:lang w:eastAsia="ru-RU"/>
        </w:rPr>
        <w:t>.</w:t>
      </w:r>
      <w:r w:rsidR="00AF5D58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тел.8(342) 2151801</w:t>
      </w:r>
    </w:p>
    <w:p w:rsidR="00D04285" w:rsidRPr="00640123" w:rsidRDefault="00D04285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</w:p>
    <w:p w:rsidR="00415316" w:rsidRPr="00640123" w:rsidRDefault="00FC56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>Учредителями Центра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являются граждане РФ:</w:t>
      </w:r>
    </w:p>
    <w:p w:rsidR="00415316" w:rsidRPr="00640123" w:rsidRDefault="00FC56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Шубников Константин Валерьевич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15316" w:rsidRPr="00640123" w:rsidRDefault="007D7D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Ильинский Игорь Николаевич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15316" w:rsidRPr="00640123" w:rsidRDefault="007D7D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- Селянинова Вера Александровна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15316" w:rsidRPr="00640123" w:rsidRDefault="00A0308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Управление Организацией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осуществляется в соответствии с Гражданским кодексом Российской Федерации, Федеральным законом «Об образовании в Российской Федерации» и «О некоммерческих организациях», другими нормативными актами Российской Федерации, а также Уставом </w:t>
      </w:r>
      <w:r w:rsidR="00B47C84" w:rsidRPr="00640123">
        <w:rPr>
          <w:rFonts w:ascii="Times New Roman" w:eastAsia="Times New Roman" w:hAnsi="Times New Roman" w:cs="Times New Roman"/>
          <w:color w:val="1E1E1E"/>
          <w:lang w:eastAsia="ru-RU"/>
        </w:rPr>
        <w:t>АНО ДПО «ЦПК «Становление»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. Непосредственное рук</w:t>
      </w:r>
      <w:r w:rsidR="00191F92" w:rsidRPr="00640123">
        <w:rPr>
          <w:rFonts w:ascii="Times New Roman" w:eastAsia="Times New Roman" w:hAnsi="Times New Roman" w:cs="Times New Roman"/>
          <w:color w:val="1E1E1E"/>
          <w:lang w:eastAsia="ru-RU"/>
        </w:rPr>
        <w:t>оводство деятельностью Организации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осуществляет</w:t>
      </w:r>
      <w:r w:rsidR="00B47C84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директор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  <w:r w:rsidR="00191F92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1811DE" w:rsidRPr="00640123">
        <w:rPr>
          <w:rFonts w:ascii="Times New Roman" w:eastAsia="Times New Roman" w:hAnsi="Times New Roman" w:cs="Times New Roman"/>
          <w:color w:val="1E1E1E"/>
          <w:lang w:eastAsia="ru-RU"/>
        </w:rPr>
        <w:t>Д</w:t>
      </w:r>
      <w:r w:rsidR="00191F92" w:rsidRPr="00640123">
        <w:rPr>
          <w:rFonts w:ascii="Times New Roman" w:eastAsia="Times New Roman" w:hAnsi="Times New Roman" w:cs="Times New Roman"/>
          <w:color w:val="1E1E1E"/>
          <w:lang w:eastAsia="ru-RU"/>
        </w:rPr>
        <w:t>иректор Организации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имеет право делегировать отдельные свои полномочия другим должностным лицам. </w:t>
      </w:r>
    </w:p>
    <w:p w:rsidR="000272EB" w:rsidRPr="00640123" w:rsidRDefault="00943C23" w:rsidP="00D04285">
      <w:pPr>
        <w:pStyle w:val="a4"/>
        <w:numPr>
          <w:ilvl w:val="1"/>
          <w:numId w:val="7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>Система управления ЦПК «Становление»</w:t>
      </w:r>
    </w:p>
    <w:p w:rsidR="00943C23" w:rsidRPr="00640123" w:rsidRDefault="00943C23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В соответствии с Уставом органами управления Центром являются:</w:t>
      </w:r>
    </w:p>
    <w:p w:rsidR="00943C23" w:rsidRPr="00640123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i/>
          <w:color w:val="1E1E1E"/>
          <w:lang w:eastAsia="ru-RU"/>
        </w:rPr>
        <w:t>Высший орган управления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– Общее собрание учредителе</w:t>
      </w:r>
      <w:r w:rsidR="00D04285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й, которое проводилось в </w:t>
      </w:r>
      <w:r w:rsidR="00D04285" w:rsidRPr="00640123">
        <w:rPr>
          <w:rFonts w:ascii="Times New Roman" w:eastAsia="Times New Roman" w:hAnsi="Times New Roman" w:cs="Times New Roman"/>
          <w:lang w:eastAsia="ru-RU"/>
        </w:rPr>
        <w:t xml:space="preserve">2019г 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3</w:t>
      </w:r>
      <w:r w:rsidR="00D04285" w:rsidRPr="00640123">
        <w:rPr>
          <w:rFonts w:ascii="Times New Roman" w:eastAsia="Times New Roman" w:hAnsi="Times New Roman" w:cs="Times New Roman"/>
          <w:lang w:eastAsia="ru-RU"/>
        </w:rPr>
        <w:t xml:space="preserve"> раз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а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На его заседаниях утверждалась смета доходов и расходов Центра, </w:t>
      </w:r>
      <w:r w:rsidR="00D04285" w:rsidRPr="00640123">
        <w:rPr>
          <w:rFonts w:ascii="Times New Roman" w:eastAsia="Times New Roman" w:hAnsi="Times New Roman" w:cs="Times New Roman"/>
          <w:color w:val="1E1E1E"/>
          <w:lang w:eastAsia="ru-RU"/>
        </w:rPr>
        <w:t>приобретение основных средств, подводились итоги финансово-хозяйственной деятельности.</w:t>
      </w:r>
    </w:p>
    <w:p w:rsidR="006B295E" w:rsidRPr="00640123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Органами управления Центра </w:t>
      </w:r>
      <w:r w:rsidRPr="00640123">
        <w:rPr>
          <w:rFonts w:ascii="Times New Roman" w:eastAsia="Times New Roman" w:hAnsi="Times New Roman" w:cs="Times New Roman"/>
          <w:lang w:eastAsia="ru-RU"/>
        </w:rPr>
        <w:t>является общее собрание работников организации, Педагогический совет</w:t>
      </w:r>
    </w:p>
    <w:p w:rsidR="00553106" w:rsidRPr="00640123" w:rsidRDefault="0055310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>Общее собрание работников проводилось 2 раза, на этих заседаниях рассмотрены следующие вопросы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E2BEE" w:rsidRPr="00640123">
        <w:rPr>
          <w:rFonts w:ascii="Times New Roman" w:eastAsia="Times New Roman" w:hAnsi="Times New Roman" w:cs="Times New Roman"/>
          <w:lang w:eastAsia="ru-RU"/>
        </w:rPr>
        <w:t xml:space="preserve">рассмотрены вопросы по 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участию Организации в выставочной деятельности, рекламе образовательных услуг</w:t>
      </w:r>
      <w:r w:rsidR="00BE2BEE" w:rsidRPr="0064012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752C" w:rsidRPr="00640123">
        <w:rPr>
          <w:rFonts w:ascii="Times New Roman" w:eastAsia="Times New Roman" w:hAnsi="Times New Roman" w:cs="Times New Roman"/>
          <w:lang w:eastAsia="ru-RU"/>
        </w:rPr>
        <w:t>график отпусков</w:t>
      </w:r>
      <w:r w:rsidR="00BE2BEE" w:rsidRPr="00640123">
        <w:rPr>
          <w:rFonts w:ascii="Times New Roman" w:eastAsia="Times New Roman" w:hAnsi="Times New Roman" w:cs="Times New Roman"/>
          <w:lang w:eastAsia="ru-RU"/>
        </w:rPr>
        <w:t>, определены кандидатуры для награждения по результатам года.</w:t>
      </w:r>
    </w:p>
    <w:p w:rsidR="00BE2BEE" w:rsidRPr="00640123" w:rsidRDefault="00BE2BE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 xml:space="preserve">Педагогический совет проводил свои заседания 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4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раза. На педагогическом совете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 xml:space="preserve"> утверждался график учебного процесса,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ялся перечень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образовательны</w:t>
      </w:r>
      <w:r w:rsidR="002353BC" w:rsidRPr="00640123">
        <w:rPr>
          <w:rFonts w:ascii="Times New Roman" w:eastAsia="Times New Roman" w:hAnsi="Times New Roman" w:cs="Times New Roman"/>
          <w:lang w:eastAsia="ru-RU"/>
        </w:rPr>
        <w:t>х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программ,</w:t>
      </w:r>
      <w:r w:rsidR="00CA21F3" w:rsidRPr="00640123">
        <w:rPr>
          <w:rFonts w:ascii="Times New Roman" w:eastAsia="Times New Roman" w:hAnsi="Times New Roman" w:cs="Times New Roman"/>
          <w:lang w:eastAsia="ru-RU"/>
        </w:rPr>
        <w:t xml:space="preserve"> рассматривались </w:t>
      </w:r>
      <w:r w:rsidR="00D1752C" w:rsidRPr="00640123">
        <w:rPr>
          <w:rFonts w:ascii="Times New Roman" w:eastAsia="Times New Roman" w:hAnsi="Times New Roman" w:cs="Times New Roman"/>
          <w:lang w:eastAsia="ru-RU"/>
        </w:rPr>
        <w:t xml:space="preserve">направления деятельности Центра, </w:t>
      </w:r>
      <w:r w:rsidR="00CA21F3" w:rsidRPr="00640123">
        <w:rPr>
          <w:rFonts w:ascii="Times New Roman" w:eastAsia="Times New Roman" w:hAnsi="Times New Roman" w:cs="Times New Roman"/>
          <w:lang w:eastAsia="ru-RU"/>
        </w:rPr>
        <w:t>вопросы участия в проектах,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утвержд</w:t>
      </w:r>
      <w:r w:rsidR="00CA21F3" w:rsidRPr="00640123">
        <w:rPr>
          <w:rFonts w:ascii="Times New Roman" w:eastAsia="Times New Roman" w:hAnsi="Times New Roman" w:cs="Times New Roman"/>
          <w:lang w:eastAsia="ru-RU"/>
        </w:rPr>
        <w:t>ались</w:t>
      </w:r>
      <w:r w:rsidRPr="00640123">
        <w:rPr>
          <w:rFonts w:ascii="Times New Roman" w:eastAsia="Times New Roman" w:hAnsi="Times New Roman" w:cs="Times New Roman"/>
          <w:lang w:eastAsia="ru-RU"/>
        </w:rPr>
        <w:t xml:space="preserve"> учебные пособия, </w:t>
      </w:r>
      <w:r w:rsidR="00D1752C" w:rsidRPr="00640123">
        <w:rPr>
          <w:rFonts w:ascii="Times New Roman" w:eastAsia="Times New Roman" w:hAnsi="Times New Roman" w:cs="Times New Roman"/>
          <w:lang w:eastAsia="ru-RU"/>
        </w:rPr>
        <w:t>модель организации образовательной деятельности</w:t>
      </w:r>
      <w:r w:rsidRPr="00640123">
        <w:rPr>
          <w:rFonts w:ascii="Times New Roman" w:eastAsia="Times New Roman" w:hAnsi="Times New Roman" w:cs="Times New Roman"/>
          <w:lang w:eastAsia="ru-RU"/>
        </w:rPr>
        <w:t>.</w:t>
      </w:r>
    </w:p>
    <w:p w:rsidR="00BE2BEE" w:rsidRPr="00640123" w:rsidRDefault="00BE2BE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0123">
        <w:rPr>
          <w:rFonts w:ascii="Times New Roman" w:eastAsia="Times New Roman" w:hAnsi="Times New Roman" w:cs="Times New Roman"/>
          <w:lang w:eastAsia="ru-RU"/>
        </w:rPr>
        <w:t>Все заседания органов управления запротоколированы.</w:t>
      </w:r>
    </w:p>
    <w:p w:rsidR="006B295E" w:rsidRPr="00640123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Текущее управление Центром осуществляет директор</w:t>
      </w:r>
      <w:r w:rsidR="0096709A" w:rsidRPr="00640123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96709A" w:rsidRPr="00640123" w:rsidRDefault="0096709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Финансовый учёт и отчётность в Центре осуществляет главный бухгалтер.</w:t>
      </w:r>
    </w:p>
    <w:p w:rsidR="00470787" w:rsidRPr="00640123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>1.2. Планируемые результаты деятельности, определённые программой развития Центра.</w:t>
      </w:r>
    </w:p>
    <w:p w:rsidR="00470787" w:rsidRPr="00640123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Выбор приоритетов развития Центра определяется потребностями рынка, социально-экономическим развитием Пермск</w:t>
      </w:r>
      <w:r w:rsidR="0029337B" w:rsidRPr="00640123">
        <w:rPr>
          <w:rFonts w:ascii="Times New Roman" w:eastAsia="Times New Roman" w:hAnsi="Times New Roman" w:cs="Times New Roman"/>
          <w:color w:val="1E1E1E"/>
          <w:lang w:eastAsia="ru-RU"/>
        </w:rPr>
        <w:t>ого края и Российской Федерации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, возможностями использования интеллектуального потенциала и материально-технической базы Центра.</w:t>
      </w:r>
    </w:p>
    <w:p w:rsidR="00470787" w:rsidRPr="00640123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Рез</w:t>
      </w:r>
      <w:r w:rsidR="0029337B" w:rsidRPr="00640123">
        <w:rPr>
          <w:rFonts w:ascii="Times New Roman" w:eastAsia="Times New Roman" w:hAnsi="Times New Roman" w:cs="Times New Roman"/>
          <w:color w:val="1E1E1E"/>
          <w:lang w:eastAsia="ru-RU"/>
        </w:rPr>
        <w:t>ультатами развития Центра являются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:</w:t>
      </w:r>
    </w:p>
    <w:p w:rsidR="00470787" w:rsidRPr="00640123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Достижение положительной динамики численности обучающихся, получающих образовательную услугу в Центре и, как следствие, финансовое сопровождение, реинвестируемое на развитие Центра;</w:t>
      </w:r>
    </w:p>
    <w:p w:rsidR="0029337B" w:rsidRPr="00640123" w:rsidRDefault="0029337B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Разработка учебно-методического комплекса, включающего в себя </w:t>
      </w:r>
      <w:r w:rsidR="00060B50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образовательные программы,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контрольно-измерительные материалы, рабочие тетради</w:t>
      </w:r>
      <w:r w:rsidR="00060B50" w:rsidRPr="00640123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70787" w:rsidRPr="00640123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Расширение географии оказания образовательной услуги Центром;</w:t>
      </w:r>
    </w:p>
    <w:p w:rsidR="00470787" w:rsidRPr="00640123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Развитие имущественного комплекса для расширения линейки программ (услуг);</w:t>
      </w:r>
    </w:p>
    <w:p w:rsidR="00415316" w:rsidRPr="00640123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2. Образовательная деятельность</w:t>
      </w:r>
    </w:p>
    <w:p w:rsidR="003867B5" w:rsidRPr="00640123" w:rsidRDefault="003867B5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>2.1. Информация о реализуемых образовательных программах</w:t>
      </w:r>
    </w:p>
    <w:p w:rsidR="00F10656" w:rsidRPr="00640123" w:rsidRDefault="00F1065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Организация реализует программы </w:t>
      </w:r>
      <w:r w:rsidR="00205FE0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профессиональной подготовки и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дополнительного профессионального образования, </w:t>
      </w:r>
      <w:r w:rsidR="00205FE0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в том числе обеспечивающие приобретение обучающимися более высокого уровня квалификации, 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проводит обучение детей и взрослых, проводит индивидуальные и групповые занятия и тренинги.</w:t>
      </w:r>
      <w:r w:rsidR="00205FE0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Образовательный процесс проводится на платной основе. Размер и форма оплаты определяется сметой Организации.</w:t>
      </w:r>
    </w:p>
    <w:p w:rsidR="00480FFB" w:rsidRPr="00640123" w:rsidRDefault="00A467F1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Организация</w:t>
      </w:r>
      <w:r w:rsidR="007213A2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480FFB" w:rsidRPr="00640123">
        <w:rPr>
          <w:rFonts w:ascii="Times New Roman" w:eastAsia="Times New Roman" w:hAnsi="Times New Roman" w:cs="Times New Roman"/>
          <w:color w:val="1E1E1E"/>
          <w:lang w:eastAsia="ru-RU"/>
        </w:rPr>
        <w:t>свою образовательную деятельность осуществляет на государственном языке Российской Федерации- русском языке.</w:t>
      </w:r>
    </w:p>
    <w:p w:rsidR="00A467F1" w:rsidRPr="00640123" w:rsidRDefault="009D5045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Образовательный процесс строится с учётом индивидуальных особенностей обучающихся и ориентирован на повышение квалификации.</w:t>
      </w:r>
    </w:p>
    <w:p w:rsidR="00A77BC6" w:rsidRPr="00640123" w:rsidRDefault="00A77BC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Содержание и организация образовательного процесса регламентируется учебными (тематическими) планами и программами, разработанными Организацией.</w:t>
      </w:r>
    </w:p>
    <w:p w:rsidR="00A77BC6" w:rsidRPr="00640123" w:rsidRDefault="00A77BC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Занятия в Организации проводятся круглогодично.</w:t>
      </w:r>
    </w:p>
    <w:p w:rsidR="00415316" w:rsidRPr="00640123" w:rsidRDefault="00F1065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>По состоянию на 31 декабря 201</w:t>
      </w:r>
      <w:r w:rsidR="00CA21F3" w:rsidRPr="00640123">
        <w:rPr>
          <w:rFonts w:ascii="Times New Roman" w:eastAsia="Times New Roman" w:hAnsi="Times New Roman" w:cs="Times New Roman"/>
          <w:color w:val="1E1E1E"/>
          <w:lang w:eastAsia="ru-RU"/>
        </w:rPr>
        <w:t>8</w:t>
      </w:r>
      <w:r w:rsidR="00B47C84" w:rsidRPr="00640123">
        <w:rPr>
          <w:rFonts w:ascii="Times New Roman" w:eastAsia="Times New Roman" w:hAnsi="Times New Roman" w:cs="Times New Roman"/>
          <w:color w:val="1E1E1E"/>
          <w:lang w:eastAsia="ru-RU"/>
        </w:rPr>
        <w:t>г. Центр</w:t>
      </w:r>
      <w:r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реализовал</w:t>
      </w:r>
      <w:r w:rsidR="00415316" w:rsidRPr="00640123">
        <w:rPr>
          <w:rFonts w:ascii="Times New Roman" w:eastAsia="Times New Roman" w:hAnsi="Times New Roman" w:cs="Times New Roman"/>
          <w:color w:val="1E1E1E"/>
          <w:lang w:eastAsia="ru-RU"/>
        </w:rPr>
        <w:t xml:space="preserve"> обучение:</w:t>
      </w:r>
    </w:p>
    <w:p w:rsidR="00640123" w:rsidRDefault="00640123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40123" w:rsidRDefault="00640123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415316" w:rsidRPr="00640123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4012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lastRenderedPageBreak/>
        <w:t>По программам повышения квалификации:</w:t>
      </w:r>
    </w:p>
    <w:tbl>
      <w:tblPr>
        <w:tblStyle w:val="a3"/>
        <w:tblW w:w="966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7117"/>
        <w:gridCol w:w="1701"/>
      </w:tblGrid>
      <w:tr w:rsidR="00C12441" w:rsidRPr="00131E3E" w:rsidTr="005929E6">
        <w:tc>
          <w:tcPr>
            <w:tcW w:w="850" w:type="dxa"/>
            <w:vAlign w:val="center"/>
          </w:tcPr>
          <w:p w:rsidR="00C12441" w:rsidRPr="00131E3E" w:rsidRDefault="00C12441" w:rsidP="005929E6">
            <w:pPr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31E3E">
              <w:rPr>
                <w:rFonts w:ascii="Calibri" w:hAnsi="Calibri" w:cs="Tahoma"/>
                <w:sz w:val="20"/>
                <w:szCs w:val="20"/>
              </w:rPr>
              <w:t>п/н</w:t>
            </w:r>
          </w:p>
        </w:tc>
        <w:tc>
          <w:tcPr>
            <w:tcW w:w="7117" w:type="dxa"/>
            <w:vAlign w:val="center"/>
          </w:tcPr>
          <w:p w:rsidR="00C12441" w:rsidRPr="00131E3E" w:rsidRDefault="00C12441" w:rsidP="005929E6">
            <w:pPr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31E3E">
              <w:rPr>
                <w:rFonts w:ascii="Calibri" w:hAnsi="Calibri" w:cs="Tahoma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vAlign w:val="center"/>
          </w:tcPr>
          <w:p w:rsidR="00C12441" w:rsidRPr="00131E3E" w:rsidRDefault="00C12441" w:rsidP="005929E6">
            <w:pPr>
              <w:spacing w:before="120" w:after="12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31E3E">
              <w:rPr>
                <w:rFonts w:ascii="Calibri" w:hAnsi="Calibri" w:cs="Tahoma"/>
                <w:sz w:val="20"/>
                <w:szCs w:val="20"/>
              </w:rPr>
              <w:t>Продолжительность, час.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(2 недели)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 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(2 недели)</w:t>
            </w:r>
          </w:p>
        </w:tc>
      </w:tr>
      <w:tr w:rsidR="00C12441" w:rsidRPr="00806DB5" w:rsidTr="005929E6">
        <w:trPr>
          <w:trHeight w:val="505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(фрезерная и 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(2 недели)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станков с ЧПУ </w:t>
            </w:r>
            <w:r w:rsidRPr="00806DB5">
              <w:rPr>
                <w:rFonts w:ascii="Calibri" w:hAnsi="Calibri" w:cs="Tahoma"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(токарная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 xml:space="preserve">40 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станков с ЧПУ </w:t>
            </w:r>
            <w:r w:rsidRPr="00806DB5">
              <w:rPr>
                <w:rFonts w:ascii="Calibri" w:hAnsi="Calibri" w:cs="Tahoma"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(фрезерная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 xml:space="preserve">40 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6.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» фрезерная обработка(практика)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7.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наладка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Fanuc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–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«продвинутый»</w:t>
            </w:r>
            <w:r>
              <w:rPr>
                <w:rFonts w:ascii="Calibri" w:hAnsi="Calibri" w:cs="Tahoma"/>
                <w:i/>
                <w:sz w:val="20"/>
                <w:szCs w:val="20"/>
              </w:rPr>
              <w:t xml:space="preserve"> уровень 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(токарная и 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«Обслуживание и сервис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» (базовый уровень)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32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(4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9.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«Обслуживание и сервис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Fanuc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»</w:t>
            </w:r>
          </w:p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(продвинутый уровень)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32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(4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10.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Дистанционное </w:t>
            </w:r>
            <w:proofErr w:type="gram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обучение</w:t>
            </w:r>
            <w:r>
              <w:rPr>
                <w:rFonts w:ascii="Calibri" w:hAnsi="Calibri" w:cs="Tahoma"/>
                <w:i/>
                <w:sz w:val="20"/>
                <w:szCs w:val="20"/>
              </w:rPr>
              <w:t xml:space="preserve">  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«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Программирование систем ЧПУ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Fanuc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  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                 (фрезерная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rPr>
          <w:trHeight w:val="437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11.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Дистан</w:t>
            </w:r>
            <w:r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ционное обучение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«Программирование систем ЧПУ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Fanuc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                 </w:t>
            </w:r>
            <w:proofErr w:type="gram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  (</w:t>
            </w:r>
            <w:proofErr w:type="gram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12.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NC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(Токарная и фрезерная обработка)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13.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Sinumerik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828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/840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sl</w:t>
            </w:r>
            <w:proofErr w:type="spellEnd"/>
          </w:p>
          <w:p w:rsidR="00C12441" w:rsidRPr="00806DB5" w:rsidRDefault="00C12441" w:rsidP="005929E6">
            <w:pPr>
              <w:rPr>
                <w:rFonts w:ascii="Calibri" w:hAnsi="Calibri" w:cs="Tahoma"/>
                <w:b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(2 недели)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14.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Sinumerik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828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/840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sl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(токарная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15.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Sinumerik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828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/840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sl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(фрезерная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rPr>
          <w:trHeight w:val="487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16.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и эксплуатация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Sinumerik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828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/840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D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sl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</w:p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(токарная и 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17.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«Программирование станков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с  ЧПУ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en-US"/>
              </w:rPr>
              <w:t>Mitsubishi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>(токарная/фрезерная обработка)»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18.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«Программирование систем ЧПУ</w:t>
            </w:r>
            <w:r w:rsidRPr="00806DB5">
              <w:rPr>
                <w:sz w:val="20"/>
                <w:szCs w:val="20"/>
              </w:rPr>
              <w:t xml:space="preserve">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Heidenhain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iTNC530, TNC320, TNC620, TNC640</w:t>
            </w: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для станков фрезерной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группы»  (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базовый курс)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  <w:lang w:val="en-US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</w:t>
            </w:r>
            <w:r w:rsidRPr="00806DB5">
              <w:rPr>
                <w:rFonts w:ascii="Calibri" w:hAnsi="Calibri" w:cs="Tahoma"/>
                <w:sz w:val="20"/>
                <w:szCs w:val="20"/>
                <w:lang w:val="en-US"/>
              </w:rPr>
              <w:t>5</w:t>
            </w:r>
            <w:r w:rsidRPr="00806DB5">
              <w:rPr>
                <w:rFonts w:ascii="Calibri" w:hAnsi="Calibri" w:cs="Tahoma"/>
                <w:sz w:val="20"/>
                <w:szCs w:val="20"/>
              </w:rPr>
              <w:t xml:space="preserve"> дней)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19.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«Сервисное обслуживание системы ЧПУ 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Heidenhain</w:t>
            </w:r>
            <w:proofErr w:type="spellEnd"/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 xml:space="preserve"> iTNC530; 620-640»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32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(4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20.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  <w:lang w:val="x-none"/>
              </w:rPr>
              <w:t>«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x-none"/>
              </w:rPr>
              <w:t>SprutCAM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пользователь (токарная и фрезерная обработка)</w:t>
            </w:r>
            <w:r w:rsidRPr="00806DB5">
              <w:rPr>
                <w:rFonts w:ascii="Calibri" w:hAnsi="Calibri" w:cs="Tahoma"/>
                <w:i/>
                <w:sz w:val="20"/>
                <w:szCs w:val="20"/>
                <w:lang w:val="x-none"/>
              </w:rPr>
              <w:t>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(5 дней)</w:t>
            </w:r>
          </w:p>
        </w:tc>
      </w:tr>
      <w:tr w:rsidR="00C12441" w:rsidRPr="00806DB5" w:rsidTr="005929E6">
        <w:trPr>
          <w:trHeight w:val="39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21.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  <w:lang w:val="x-none"/>
              </w:rPr>
              <w:t>«</w:t>
            </w:r>
            <w:proofErr w:type="spellStart"/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x-none"/>
              </w:rPr>
              <w:t>SprutCAM</w:t>
            </w:r>
            <w:proofErr w:type="spell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пользователь 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24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(3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806DB5">
              <w:rPr>
                <w:rFonts w:ascii="Calibri" w:hAnsi="Calibri" w:cs="Tahoma"/>
                <w:sz w:val="20"/>
                <w:szCs w:val="20"/>
                <w:lang w:val="en-US"/>
              </w:rPr>
              <w:t>22</w:t>
            </w:r>
            <w:r w:rsidRPr="00806DB5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Семинар «Современные подходы к технологии обработки металлов» 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 xml:space="preserve">24 </w:t>
            </w:r>
            <w:proofErr w:type="gramStart"/>
            <w:r w:rsidRPr="00806DB5">
              <w:rPr>
                <w:rFonts w:ascii="Calibri" w:hAnsi="Calibri" w:cs="Tahoma"/>
                <w:sz w:val="20"/>
                <w:szCs w:val="20"/>
              </w:rPr>
              <w:t>часа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</w:t>
            </w:r>
            <w:proofErr w:type="gramEnd"/>
            <w:r w:rsidRPr="00806DB5">
              <w:rPr>
                <w:rFonts w:ascii="Calibri" w:hAnsi="Calibri" w:cs="Tahoma"/>
                <w:sz w:val="20"/>
                <w:szCs w:val="20"/>
              </w:rPr>
              <w:t>3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23.</w:t>
            </w:r>
          </w:p>
        </w:tc>
        <w:tc>
          <w:tcPr>
            <w:tcW w:w="7117" w:type="dxa"/>
            <w:vAlign w:val="center"/>
          </w:tcPr>
          <w:p w:rsidR="00C12441" w:rsidRPr="00806DB5" w:rsidRDefault="00C12441" w:rsidP="005929E6">
            <w:pPr>
              <w:spacing w:before="120" w:after="120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«Металлообработка на станках с ЧПУ»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80</w:t>
            </w:r>
            <w:r w:rsidRPr="00806DB5">
              <w:rPr>
                <w:rFonts w:ascii="Calibri" w:hAnsi="Calibri" w:cs="Tahoma"/>
                <w:sz w:val="20"/>
                <w:szCs w:val="20"/>
              </w:rPr>
              <w:br/>
              <w:t>(2 недели)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24.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«Измерительный датчик и системы наладки инструмента 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RENISHAW»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24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(3 дня)</w:t>
            </w:r>
          </w:p>
        </w:tc>
      </w:tr>
      <w:tr w:rsidR="00C12441" w:rsidRPr="00806DB5" w:rsidTr="005929E6"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25.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b/>
                <w:sz w:val="20"/>
                <w:szCs w:val="20"/>
              </w:rPr>
            </w:pP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x-none"/>
              </w:rPr>
              <w:t>«Школа наставни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</w:rPr>
              <w:t>ков</w:t>
            </w:r>
            <w:r w:rsidRPr="00806DB5">
              <w:rPr>
                <w:rFonts w:ascii="Calibri" w:hAnsi="Calibri" w:cs="Tahoma"/>
                <w:b/>
                <w:i/>
                <w:sz w:val="20"/>
                <w:szCs w:val="20"/>
                <w:lang w:val="x-none"/>
              </w:rPr>
              <w:t>»</w:t>
            </w:r>
            <w:r w:rsidRPr="00806DB5">
              <w:rPr>
                <w:b/>
                <w:sz w:val="20"/>
                <w:szCs w:val="20"/>
              </w:rPr>
              <w:t>:</w:t>
            </w:r>
          </w:p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  <w:lang w:val="x-none"/>
              </w:rPr>
              <w:t xml:space="preserve">Технологии передачи опыта. 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24 часа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(3дня)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26</w:t>
            </w:r>
            <w:r w:rsidRPr="00806DB5"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«Металлообработка на станках с ЧПУ для руководителей промышленных предприятий»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 часов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(5 дней)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lastRenderedPageBreak/>
              <w:t>27.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«Технические измерения»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 xml:space="preserve">8 часов </w:t>
            </w:r>
          </w:p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(1 день)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28.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Профессиональные стандарты. Практика внедрения. Особенности нормирования труда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 xml:space="preserve">8 </w:t>
            </w:r>
            <w:proofErr w:type="gramStart"/>
            <w:r w:rsidRPr="00806DB5">
              <w:rPr>
                <w:rFonts w:ascii="Calibri" w:hAnsi="Calibri" w:cs="Tahoma"/>
                <w:sz w:val="20"/>
                <w:szCs w:val="20"/>
              </w:rPr>
              <w:t>часов(</w:t>
            </w:r>
            <w:proofErr w:type="gramEnd"/>
            <w:r w:rsidRPr="00806DB5">
              <w:rPr>
                <w:rFonts w:ascii="Calibri" w:hAnsi="Calibri" w:cs="Tahoma"/>
                <w:sz w:val="20"/>
                <w:szCs w:val="20"/>
              </w:rPr>
              <w:t>1 день)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29.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Курс менеджера по продажам станков, инструмента и обучения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40 часов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30.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Формирование доступной среды для социальной интеграции инвалидов ПК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16 часов</w:t>
            </w:r>
          </w:p>
        </w:tc>
      </w:tr>
      <w:tr w:rsidR="00C12441" w:rsidRPr="00806DB5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31.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«Система менеджмента качества. Роль высшего руководства и </w:t>
            </w:r>
            <w:proofErr w:type="gramStart"/>
            <w:r w:rsidRPr="00806DB5">
              <w:rPr>
                <w:rFonts w:ascii="Calibri" w:hAnsi="Calibri" w:cs="Tahoma"/>
                <w:i/>
                <w:sz w:val="20"/>
                <w:szCs w:val="20"/>
              </w:rPr>
              <w:t>необходимые  компетенции</w:t>
            </w:r>
            <w:proofErr w:type="gramEnd"/>
            <w:r w:rsidRPr="00806DB5">
              <w:rPr>
                <w:rFonts w:ascii="Calibri" w:hAnsi="Calibri" w:cs="Tahoma"/>
                <w:i/>
                <w:sz w:val="20"/>
                <w:szCs w:val="20"/>
              </w:rPr>
              <w:t xml:space="preserve"> в области качества.  О чем должны договориться руководители между собой и с персоналом – «мосты» и «ворота» качества»</w:t>
            </w:r>
          </w:p>
        </w:tc>
        <w:tc>
          <w:tcPr>
            <w:tcW w:w="1701" w:type="dxa"/>
            <w:vAlign w:val="center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</w:rPr>
              <w:t>16 часов</w:t>
            </w:r>
          </w:p>
        </w:tc>
      </w:tr>
      <w:tr w:rsidR="00C12441" w:rsidRPr="00B36ADF" w:rsidTr="005929E6">
        <w:trPr>
          <w:trHeight w:val="629"/>
        </w:trPr>
        <w:tc>
          <w:tcPr>
            <w:tcW w:w="850" w:type="dxa"/>
          </w:tcPr>
          <w:p w:rsidR="00C12441" w:rsidRPr="00806DB5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32.</w:t>
            </w:r>
          </w:p>
        </w:tc>
        <w:tc>
          <w:tcPr>
            <w:tcW w:w="7117" w:type="dxa"/>
          </w:tcPr>
          <w:p w:rsidR="00C12441" w:rsidRPr="00806DB5" w:rsidRDefault="00C12441" w:rsidP="005929E6">
            <w:pPr>
              <w:jc w:val="both"/>
              <w:rPr>
                <w:rFonts w:ascii="Calibri" w:hAnsi="Calibri" w:cs="Tahoma"/>
                <w:i/>
                <w:sz w:val="20"/>
                <w:szCs w:val="20"/>
              </w:rPr>
            </w:pPr>
            <w:r w:rsidRPr="00806DB5">
              <w:rPr>
                <w:rFonts w:ascii="Calibri" w:hAnsi="Calibri" w:cs="Tahoma"/>
                <w:i/>
                <w:sz w:val="20"/>
                <w:szCs w:val="20"/>
              </w:rPr>
              <w:t>Контактные измерительные системы RENISHAW для станков с ЧПУ</w:t>
            </w:r>
          </w:p>
        </w:tc>
        <w:tc>
          <w:tcPr>
            <w:tcW w:w="1701" w:type="dxa"/>
            <w:vAlign w:val="center"/>
          </w:tcPr>
          <w:p w:rsidR="00C12441" w:rsidRPr="00B36ADF" w:rsidRDefault="00C12441" w:rsidP="005929E6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806DB5">
              <w:rPr>
                <w:rFonts w:ascii="Calibri" w:hAnsi="Calibri" w:cs="Tahoma"/>
                <w:sz w:val="20"/>
                <w:szCs w:val="20"/>
                <w:lang w:val="en-US"/>
              </w:rPr>
              <w:t xml:space="preserve">40 </w:t>
            </w:r>
            <w:r w:rsidRPr="00806DB5">
              <w:rPr>
                <w:rFonts w:ascii="Calibri" w:hAnsi="Calibri" w:cs="Tahoma"/>
                <w:sz w:val="20"/>
                <w:szCs w:val="20"/>
              </w:rPr>
              <w:t>часов</w:t>
            </w:r>
          </w:p>
        </w:tc>
      </w:tr>
    </w:tbl>
    <w:p w:rsidR="00415316" w:rsidRPr="00C124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2441">
        <w:rPr>
          <w:rFonts w:ascii="Times New Roman" w:eastAsia="Times New Roman" w:hAnsi="Times New Roman" w:cs="Times New Roman"/>
          <w:bCs/>
          <w:color w:val="1E1E1E"/>
          <w:lang w:eastAsia="ru-RU"/>
        </w:rPr>
        <w:t>По программе профессиональной переподготовки:</w:t>
      </w:r>
      <w:r w:rsidR="0076497F" w:rsidRPr="00C12441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 </w:t>
      </w:r>
      <w:r w:rsidR="00DF32B1" w:rsidRPr="00C12441">
        <w:rPr>
          <w:rFonts w:ascii="Times New Roman" w:eastAsia="Times New Roman" w:hAnsi="Times New Roman" w:cs="Times New Roman"/>
          <w:bCs/>
          <w:lang w:eastAsia="ru-RU"/>
        </w:rPr>
        <w:t>«</w:t>
      </w:r>
      <w:r w:rsidR="00D2467E" w:rsidRPr="00C12441">
        <w:rPr>
          <w:rFonts w:ascii="Times New Roman" w:eastAsia="Times New Roman" w:hAnsi="Times New Roman" w:cs="Times New Roman"/>
          <w:lang w:eastAsia="ru-RU"/>
        </w:rPr>
        <w:t xml:space="preserve">Оператор станков с </w:t>
      </w:r>
      <w:r w:rsidR="00DF32B1" w:rsidRPr="00C12441">
        <w:rPr>
          <w:rFonts w:ascii="Times New Roman" w:eastAsia="Times New Roman" w:hAnsi="Times New Roman" w:cs="Times New Roman"/>
          <w:lang w:eastAsia="ru-RU"/>
        </w:rPr>
        <w:t>программным управлением»</w:t>
      </w:r>
    </w:p>
    <w:p w:rsidR="00531082" w:rsidRPr="00C12441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12441">
        <w:rPr>
          <w:rFonts w:ascii="Times New Roman" w:eastAsia="Times New Roman" w:hAnsi="Times New Roman" w:cs="Times New Roman"/>
          <w:lang w:eastAsia="ru-RU"/>
        </w:rPr>
        <w:t>В Центре р</w:t>
      </w:r>
      <w:r w:rsidR="00415316" w:rsidRPr="00C12441">
        <w:rPr>
          <w:rFonts w:ascii="Times New Roman" w:eastAsia="Times New Roman" w:hAnsi="Times New Roman" w:cs="Times New Roman"/>
          <w:lang w:eastAsia="ru-RU"/>
        </w:rPr>
        <w:t>азрабатываются другие программы по профессиональному дополнительному образованию. Программы составляются и реализуются профессионалами, имеющими большой опыт практической работы в сотрудничестве с профессиональной общественной организацией «</w:t>
      </w:r>
      <w:proofErr w:type="gramStart"/>
      <w:r w:rsidRPr="00C12441">
        <w:rPr>
          <w:rFonts w:ascii="Times New Roman" w:eastAsia="Times New Roman" w:hAnsi="Times New Roman" w:cs="Times New Roman"/>
          <w:lang w:eastAsia="ru-RU"/>
        </w:rPr>
        <w:t xml:space="preserve">Невская </w:t>
      </w:r>
      <w:r w:rsidR="00F10656" w:rsidRPr="00C124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59D1" w:rsidRPr="00C12441">
        <w:rPr>
          <w:rFonts w:ascii="Times New Roman" w:eastAsia="Times New Roman" w:hAnsi="Times New Roman" w:cs="Times New Roman"/>
          <w:lang w:eastAsia="ru-RU"/>
        </w:rPr>
        <w:t>образовательная</w:t>
      </w:r>
      <w:proofErr w:type="gramEnd"/>
      <w:r w:rsidR="007459D1" w:rsidRPr="00C12441">
        <w:rPr>
          <w:rFonts w:ascii="Times New Roman" w:eastAsia="Times New Roman" w:hAnsi="Times New Roman" w:cs="Times New Roman"/>
          <w:lang w:eastAsia="ru-RU"/>
        </w:rPr>
        <w:t xml:space="preserve"> ассамблея</w:t>
      </w:r>
      <w:r w:rsidR="00F10656" w:rsidRPr="00C12441">
        <w:rPr>
          <w:rFonts w:ascii="Times New Roman" w:eastAsia="Times New Roman" w:hAnsi="Times New Roman" w:cs="Times New Roman"/>
          <w:b/>
          <w:bCs/>
          <w:lang w:eastAsia="ru-RU"/>
        </w:rPr>
        <w:t xml:space="preserve">», </w:t>
      </w:r>
      <w:r w:rsidR="00F10656" w:rsidRPr="00C12441">
        <w:rPr>
          <w:rFonts w:ascii="Times New Roman" w:eastAsia="Times New Roman" w:hAnsi="Times New Roman" w:cs="Times New Roman"/>
          <w:bCs/>
          <w:lang w:eastAsia="ru-RU"/>
        </w:rPr>
        <w:t>членом которой Центр является с 2014года</w:t>
      </w:r>
      <w:r w:rsidR="007459D1" w:rsidRPr="00C12441">
        <w:rPr>
          <w:rFonts w:ascii="Times New Roman" w:eastAsia="Times New Roman" w:hAnsi="Times New Roman" w:cs="Times New Roman"/>
          <w:bCs/>
          <w:lang w:eastAsia="ru-RU"/>
        </w:rPr>
        <w:t>. Региональное объединение промышленников «Сотрудничество» (с 2013г), Пермская торгово-промышленная палата (с 2013г</w:t>
      </w:r>
      <w:r w:rsidR="0067318E" w:rsidRPr="00C12441">
        <w:rPr>
          <w:rFonts w:ascii="Times New Roman" w:eastAsia="Times New Roman" w:hAnsi="Times New Roman" w:cs="Times New Roman"/>
          <w:bCs/>
          <w:lang w:eastAsia="ru-RU"/>
        </w:rPr>
        <w:t>)</w:t>
      </w:r>
      <w:r w:rsidR="00531082" w:rsidRPr="00C1244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0305A" w:rsidRPr="00C12441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    </w:t>
      </w:r>
      <w:r w:rsidR="0040305A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Обучение проводится модульно методом погружения с отработкой навыков на </w:t>
      </w:r>
      <w:r w:rsidR="000A5312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конкретном оборудовании (промышленные станки,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роботы, </w:t>
      </w:r>
      <w:r w:rsidR="000A5312" w:rsidRPr="00C12441">
        <w:rPr>
          <w:rFonts w:ascii="Times New Roman" w:eastAsia="Times New Roman" w:hAnsi="Times New Roman" w:cs="Times New Roman"/>
          <w:color w:val="1E1E1E"/>
          <w:lang w:eastAsia="ru-RU"/>
        </w:rPr>
        <w:t>комплектующие), реализуется внедрение передовых технологий на конкретные предприятия</w:t>
      </w:r>
      <w:r w:rsidR="0040305A" w:rsidRPr="00C12441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415316" w:rsidRPr="00C12441" w:rsidRDefault="0076497F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244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415316" w:rsidRPr="00C12441">
        <w:rPr>
          <w:rFonts w:ascii="Times New Roman" w:eastAsia="Times New Roman" w:hAnsi="Times New Roman" w:cs="Times New Roman"/>
          <w:lang w:eastAsia="ru-RU"/>
        </w:rPr>
        <w:t>Практические и семинарские занятия предполагают различные формы организации и взаимодействия преподавателя и слушателей:</w:t>
      </w:r>
    </w:p>
    <w:p w:rsidR="00415316" w:rsidRPr="00C12441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2441">
        <w:rPr>
          <w:rFonts w:ascii="Times New Roman" w:eastAsia="Times New Roman" w:hAnsi="Times New Roman" w:cs="Times New Roman"/>
          <w:lang w:eastAsia="ru-RU"/>
        </w:rPr>
        <w:t>анализ конкретных ситуаци</w:t>
      </w:r>
      <w:r w:rsidR="0076497F" w:rsidRPr="00C12441">
        <w:rPr>
          <w:rFonts w:ascii="Times New Roman" w:eastAsia="Times New Roman" w:hAnsi="Times New Roman" w:cs="Times New Roman"/>
          <w:lang w:eastAsia="ru-RU"/>
        </w:rPr>
        <w:t xml:space="preserve">й, моделирование </w:t>
      </w:r>
      <w:proofErr w:type="gramStart"/>
      <w:r w:rsidR="0076497F" w:rsidRPr="00C12441">
        <w:rPr>
          <w:rFonts w:ascii="Times New Roman" w:eastAsia="Times New Roman" w:hAnsi="Times New Roman" w:cs="Times New Roman"/>
          <w:lang w:eastAsia="ru-RU"/>
        </w:rPr>
        <w:t xml:space="preserve">ситуаций, </w:t>
      </w:r>
      <w:r w:rsidRPr="00C12441">
        <w:rPr>
          <w:rFonts w:ascii="Times New Roman" w:eastAsia="Times New Roman" w:hAnsi="Times New Roman" w:cs="Times New Roman"/>
          <w:lang w:eastAsia="ru-RU"/>
        </w:rPr>
        <w:t xml:space="preserve"> мастер</w:t>
      </w:r>
      <w:proofErr w:type="gramEnd"/>
      <w:r w:rsidRPr="00C12441">
        <w:rPr>
          <w:rFonts w:ascii="Times New Roman" w:eastAsia="Times New Roman" w:hAnsi="Times New Roman" w:cs="Times New Roman"/>
          <w:lang w:eastAsia="ru-RU"/>
        </w:rPr>
        <w:t>-классы</w:t>
      </w:r>
      <w:r w:rsidR="0076497F" w:rsidRPr="00C12441">
        <w:rPr>
          <w:rFonts w:ascii="Times New Roman" w:eastAsia="Times New Roman" w:hAnsi="Times New Roman" w:cs="Times New Roman"/>
          <w:lang w:eastAsia="ru-RU"/>
        </w:rPr>
        <w:t xml:space="preserve">, тренинги </w:t>
      </w:r>
      <w:r w:rsidRPr="00C12441">
        <w:rPr>
          <w:rFonts w:ascii="Times New Roman" w:eastAsia="Times New Roman" w:hAnsi="Times New Roman" w:cs="Times New Roman"/>
          <w:lang w:eastAsia="ru-RU"/>
        </w:rPr>
        <w:t>и др.</w:t>
      </w:r>
    </w:p>
    <w:p w:rsidR="00123A94" w:rsidRPr="00C12441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   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Образовательная деятельность по всем направлениям деятельности обеспечена рабочими программами. Учебные и учебно-тематические планы составлены с учетом специфики профессионального обучения и отражают основные тенденции теории и практики применения необходимых</w:t>
      </w:r>
      <w:r w:rsidR="00E371D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навыков и компетенций.</w:t>
      </w:r>
    </w:p>
    <w:p w:rsidR="0076497F" w:rsidRPr="00C12441" w:rsidRDefault="00E371D9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76497F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  О</w:t>
      </w:r>
      <w:r w:rsidR="00123A94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бразовательные программы представляют собой комплекс основных характеристик: </w:t>
      </w:r>
      <w:r w:rsidR="0076497F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учебный план, график учебного процесса, </w:t>
      </w:r>
      <w:r w:rsidR="00123A94" w:rsidRPr="00C12441">
        <w:rPr>
          <w:rFonts w:ascii="Times New Roman" w:eastAsia="Times New Roman" w:hAnsi="Times New Roman" w:cs="Times New Roman"/>
          <w:color w:val="1E1E1E"/>
          <w:lang w:eastAsia="ru-RU"/>
        </w:rPr>
        <w:t>содержание, количеств</w:t>
      </w:r>
      <w:r w:rsidR="0076497F" w:rsidRPr="00C12441">
        <w:rPr>
          <w:rFonts w:ascii="Times New Roman" w:eastAsia="Times New Roman" w:hAnsi="Times New Roman" w:cs="Times New Roman"/>
          <w:color w:val="1E1E1E"/>
          <w:lang w:eastAsia="ru-RU"/>
        </w:rPr>
        <w:t>о часов, планируемые результаты</w:t>
      </w:r>
      <w:r w:rsidR="00123A94" w:rsidRPr="00C12441">
        <w:rPr>
          <w:rFonts w:ascii="Times New Roman" w:eastAsia="Times New Roman" w:hAnsi="Times New Roman" w:cs="Times New Roman"/>
          <w:color w:val="1E1E1E"/>
          <w:lang w:eastAsia="ru-RU"/>
        </w:rPr>
        <w:t>, организационно-педагогич</w:t>
      </w:r>
      <w:r w:rsidR="0076497F" w:rsidRPr="00C12441">
        <w:rPr>
          <w:rFonts w:ascii="Times New Roman" w:eastAsia="Times New Roman" w:hAnsi="Times New Roman" w:cs="Times New Roman"/>
          <w:color w:val="1E1E1E"/>
          <w:lang w:eastAsia="ru-RU"/>
        </w:rPr>
        <w:t>еские условия, формы аттестации</w:t>
      </w:r>
      <w:r w:rsidR="00AA52B0" w:rsidRPr="00C12441">
        <w:rPr>
          <w:rFonts w:ascii="Times New Roman" w:eastAsia="Times New Roman" w:hAnsi="Times New Roman" w:cs="Times New Roman"/>
          <w:color w:val="1E1E1E"/>
          <w:lang w:eastAsia="ru-RU"/>
        </w:rPr>
        <w:t>.</w:t>
      </w:r>
      <w:r w:rsidR="00123A94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Рабочие программы дисциплин (модулей), программы практик, оценочных средств, методических материалов, обеспечивающие реализацию соответствующей образовательной технологии и качество подготовки обучающихся. 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Все обр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азовательные программы Центра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имеют практическую направленность, 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>они разрабатываются по заявкам бизнеса и следуя рекомендациям разработчиков оборудования и систем ЧПУ (</w:t>
      </w:r>
      <w:r w:rsidR="00365FE1" w:rsidRPr="00C12441">
        <w:rPr>
          <w:rFonts w:ascii="Times New Roman" w:eastAsia="Times New Roman" w:hAnsi="Times New Roman" w:cs="Times New Roman"/>
          <w:color w:val="1E1E1E"/>
          <w:lang w:val="en-US" w:eastAsia="ru-RU"/>
        </w:rPr>
        <w:t>FANUC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, </w:t>
      </w:r>
      <w:proofErr w:type="spellStart"/>
      <w:r w:rsidR="00365FE1" w:rsidRPr="00C12441">
        <w:rPr>
          <w:rFonts w:ascii="Times New Roman" w:eastAsia="Times New Roman" w:hAnsi="Times New Roman" w:cs="Times New Roman"/>
          <w:color w:val="1E1E1E"/>
          <w:lang w:val="en-US" w:eastAsia="ru-RU"/>
        </w:rPr>
        <w:t>Sinumerik</w:t>
      </w:r>
      <w:proofErr w:type="spellEnd"/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,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365FE1" w:rsidRPr="00C12441">
        <w:rPr>
          <w:rFonts w:ascii="Times New Roman" w:eastAsia="Times New Roman" w:hAnsi="Times New Roman" w:cs="Times New Roman"/>
          <w:color w:val="1E1E1E"/>
          <w:lang w:val="en-US" w:eastAsia="ru-RU"/>
        </w:rPr>
        <w:t>RENISHW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. </w:t>
      </w:r>
      <w:r w:rsidR="00365FE1" w:rsidRPr="00C12441">
        <w:rPr>
          <w:rFonts w:ascii="Times New Roman" w:eastAsia="Times New Roman" w:hAnsi="Times New Roman" w:cs="Times New Roman"/>
          <w:color w:val="1E1E1E"/>
          <w:lang w:val="en-US" w:eastAsia="ru-RU"/>
        </w:rPr>
        <w:t>SPRUT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>-</w:t>
      </w:r>
      <w:r w:rsidR="00365FE1" w:rsidRPr="00C12441">
        <w:rPr>
          <w:rFonts w:ascii="Times New Roman" w:eastAsia="Times New Roman" w:hAnsi="Times New Roman" w:cs="Times New Roman"/>
          <w:color w:val="1E1E1E"/>
          <w:lang w:val="en-US" w:eastAsia="ru-RU"/>
        </w:rPr>
        <w:t>CAM</w:t>
      </w:r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и </w:t>
      </w:r>
      <w:proofErr w:type="spellStart"/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>др</w:t>
      </w:r>
      <w:proofErr w:type="spellEnd"/>
      <w:r w:rsidR="00365FE1" w:rsidRPr="00C12441">
        <w:rPr>
          <w:rFonts w:ascii="Times New Roman" w:eastAsia="Times New Roman" w:hAnsi="Times New Roman" w:cs="Times New Roman"/>
          <w:color w:val="1E1E1E"/>
          <w:lang w:eastAsia="ru-RU"/>
        </w:rPr>
        <w:t>). З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нания умения и навыки, получаемые обучающимися, предполагают их активное использование в непосредственной практической работе специалистов.</w:t>
      </w:r>
    </w:p>
    <w:p w:rsidR="00415316" w:rsidRPr="00C12441" w:rsidRDefault="00BD013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Ежемесячный анализ трудоустройства выпускников показывает, что все выпускники Центра применяют свои навыки в практической деятельности.</w:t>
      </w:r>
    </w:p>
    <w:p w:rsidR="00330E27" w:rsidRPr="00C12441" w:rsidRDefault="00415316" w:rsidP="00B944F7">
      <w:pPr>
        <w:pStyle w:val="a5"/>
        <w:shd w:val="clear" w:color="auto" w:fill="FFFFFF"/>
        <w:spacing w:before="0" w:beforeAutospacing="0" w:after="150" w:afterAutospacing="0"/>
        <w:rPr>
          <w:rFonts w:ascii="Calibri" w:hAnsi="Calibri" w:cs="Calibri"/>
          <w:color w:val="6D6D6D"/>
          <w:sz w:val="22"/>
          <w:szCs w:val="22"/>
        </w:rPr>
      </w:pPr>
      <w:r w:rsidRPr="00C12441">
        <w:rPr>
          <w:color w:val="1E1E1E"/>
          <w:sz w:val="22"/>
          <w:szCs w:val="22"/>
        </w:rPr>
        <w:t xml:space="preserve">Как положительную тенденцию можно отметить увеличение количество договоров с организациями на обучение сотрудников. Доходы от образовательной деятельности по договорам от организаций составили </w:t>
      </w:r>
      <w:r w:rsidR="00554544">
        <w:rPr>
          <w:sz w:val="22"/>
          <w:szCs w:val="22"/>
        </w:rPr>
        <w:t>19590</w:t>
      </w:r>
      <w:r w:rsidRPr="00C12441">
        <w:rPr>
          <w:sz w:val="22"/>
          <w:szCs w:val="22"/>
        </w:rPr>
        <w:t xml:space="preserve"> </w:t>
      </w:r>
      <w:r w:rsidR="00531082" w:rsidRPr="00C12441">
        <w:rPr>
          <w:sz w:val="22"/>
          <w:szCs w:val="22"/>
        </w:rPr>
        <w:t>тыс.</w:t>
      </w:r>
      <w:r w:rsidR="000755A6" w:rsidRPr="00C12441">
        <w:rPr>
          <w:sz w:val="22"/>
          <w:szCs w:val="22"/>
        </w:rPr>
        <w:t xml:space="preserve"> </w:t>
      </w:r>
      <w:r w:rsidRPr="00C12441">
        <w:rPr>
          <w:color w:val="1E1E1E"/>
          <w:sz w:val="22"/>
          <w:szCs w:val="22"/>
        </w:rPr>
        <w:t>руб</w:t>
      </w:r>
      <w:r w:rsidR="000755A6" w:rsidRPr="00C12441">
        <w:rPr>
          <w:color w:val="1E1E1E"/>
          <w:sz w:val="22"/>
          <w:szCs w:val="22"/>
        </w:rPr>
        <w:t>лей</w:t>
      </w:r>
      <w:r w:rsidRPr="00C12441">
        <w:rPr>
          <w:color w:val="1E1E1E"/>
          <w:sz w:val="22"/>
          <w:szCs w:val="22"/>
        </w:rPr>
        <w:t>.</w:t>
      </w:r>
      <w:r w:rsidR="00B944F7" w:rsidRPr="00C12441">
        <w:rPr>
          <w:rFonts w:ascii="Calibri" w:hAnsi="Calibri" w:cs="Calibri"/>
          <w:color w:val="6D6D6D"/>
          <w:sz w:val="22"/>
          <w:szCs w:val="22"/>
        </w:rPr>
        <w:t xml:space="preserve"> </w:t>
      </w:r>
    </w:p>
    <w:p w:rsidR="00415316" w:rsidRPr="00C12441" w:rsidRDefault="002D3AF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 xml:space="preserve">2.2 </w:t>
      </w:r>
      <w:r w:rsidR="00415316" w:rsidRPr="00C12441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>Система контроля качества обучения.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Система контро</w:t>
      </w:r>
      <w:r w:rsidR="00E01DFD" w:rsidRPr="00C12441">
        <w:rPr>
          <w:rFonts w:ascii="Times New Roman" w:eastAsia="Times New Roman" w:hAnsi="Times New Roman" w:cs="Times New Roman"/>
          <w:color w:val="1E1E1E"/>
          <w:lang w:eastAsia="ru-RU"/>
        </w:rPr>
        <w:t>ля качества обучения в Центре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включает основные формы: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-текущий контроль (проверка знаний на занятиях, индивидуальные занятия, </w:t>
      </w:r>
      <w:r w:rsidR="00E01DFD" w:rsidRPr="00C12441">
        <w:rPr>
          <w:rFonts w:ascii="Times New Roman" w:eastAsia="Times New Roman" w:hAnsi="Times New Roman" w:cs="Times New Roman"/>
          <w:color w:val="1E1E1E"/>
          <w:lang w:eastAsia="ru-RU"/>
        </w:rPr>
        <w:t>взаимоконтроль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)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итоговая аттестация слушателей по отдельной дисциплине</w:t>
      </w:r>
      <w:r w:rsidR="00052AA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(модулю) программы;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итоговая аттестация, включающая в себя выполнение аттестационной работы и(или) итогового экзамена.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обратная связь от обучающихся с целью улучшения качества, выявления с последующим устранением недостатков учебного процесса.</w:t>
      </w:r>
    </w:p>
    <w:p w:rsidR="008A79FF" w:rsidRPr="00C12441" w:rsidRDefault="00E01DFD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Концепция обучения в Центре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опирается на основные достижения в области дополнительного профессионального образования, развивает идею непрерывного образования, опирается на современные разработки в области образовательных технологий, ориентируется на передовой опыт развития и формирования профессиональной компетентности специалистов и руководителей. </w:t>
      </w:r>
    </w:p>
    <w:p w:rsidR="00415316" w:rsidRPr="00C12441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Для достижения поставленных целей </w:t>
      </w:r>
      <w:r w:rsidR="008A79FF" w:rsidRPr="00C12441">
        <w:rPr>
          <w:rFonts w:ascii="Times New Roman" w:eastAsia="Times New Roman" w:hAnsi="Times New Roman" w:cs="Times New Roman"/>
          <w:color w:val="1E1E1E"/>
          <w:lang w:eastAsia="ru-RU"/>
        </w:rPr>
        <w:t>Центр специализируется на практик</w:t>
      </w:r>
      <w:r w:rsidR="00052AA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ориентированное обучение, где </w:t>
      </w:r>
      <w:r w:rsidR="008A79FF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основой являются </w:t>
      </w:r>
      <w:r w:rsidR="00E01DFD" w:rsidRPr="00C12441">
        <w:rPr>
          <w:rFonts w:ascii="Times New Roman" w:eastAsia="Times New Roman" w:hAnsi="Times New Roman" w:cs="Times New Roman"/>
          <w:color w:val="1E1E1E"/>
          <w:lang w:eastAsia="ru-RU"/>
        </w:rPr>
        <w:t>практические занятия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.</w:t>
      </w:r>
      <w:r w:rsidR="00052AA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В течение образовательного процесса каждый обучающийся выполняет весь цикл практических работ, предусмотренных образовательной программой. Инженеры по обучению получают премию только по результатам выполнения трудовых функций обучающимися по образовательным программам.</w:t>
      </w:r>
    </w:p>
    <w:p w:rsidR="00415316" w:rsidRPr="00C12441" w:rsidRDefault="00133E14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2.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3. Научно-методическая деятельность</w:t>
      </w:r>
    </w:p>
    <w:p w:rsidR="00415316" w:rsidRPr="00C12441" w:rsidRDefault="00415316" w:rsidP="00C0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В рамках деятельности </w:t>
      </w:r>
      <w:r w:rsidR="00E01DFD" w:rsidRPr="00C12441">
        <w:rPr>
          <w:rFonts w:ascii="Times New Roman" w:eastAsia="Times New Roman" w:hAnsi="Times New Roman" w:cs="Times New Roman"/>
          <w:color w:val="1E1E1E"/>
          <w:lang w:eastAsia="ru-RU"/>
        </w:rPr>
        <w:t>Центра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научно-методическая деятельность включает в себя следующие элементы:</w:t>
      </w:r>
    </w:p>
    <w:p w:rsidR="00415316" w:rsidRPr="00C12441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- обеспечение образовательного процесса достаточным и актуальным 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для современного производства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материалом, разработку научно-методического и методического обеспечения образовательного процесса;</w:t>
      </w:r>
    </w:p>
    <w:p w:rsidR="00415316" w:rsidRPr="00C12441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повышение квалификации преподавателей;</w:t>
      </w:r>
    </w:p>
    <w:p w:rsidR="00415316" w:rsidRPr="00C12441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издание научно-методической литературы;</w:t>
      </w:r>
    </w:p>
    <w:p w:rsidR="00415316" w:rsidRPr="00C12441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- участие сотрудников 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Центра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в различных научных и образовательных внешних мероприятиях.</w:t>
      </w:r>
    </w:p>
    <w:p w:rsidR="00415316" w:rsidRPr="00C12441" w:rsidRDefault="00E01DFD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- организация Центром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научно- методических м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>ероприятий (конференции,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>с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еминары, круглые столы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и др.</w:t>
      </w:r>
      <w:r w:rsidR="00CF640B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Все сотрудники Центра, осуществляющие образовательную деятельность, совершенствуют своё педагогическое мастерство</w:t>
      </w:r>
      <w:r w:rsidR="00166668" w:rsidRPr="00C12441">
        <w:rPr>
          <w:rFonts w:ascii="Times New Roman" w:eastAsia="Times New Roman" w:hAnsi="Times New Roman" w:cs="Times New Roman"/>
          <w:color w:val="1E1E1E"/>
          <w:lang w:eastAsia="ru-RU"/>
        </w:rPr>
        <w:t>,</w:t>
      </w:r>
      <w:r w:rsidR="00CF640B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ра</w:t>
      </w:r>
      <w:r w:rsidR="00166668" w:rsidRPr="00C12441">
        <w:rPr>
          <w:rFonts w:ascii="Times New Roman" w:eastAsia="Times New Roman" w:hAnsi="Times New Roman" w:cs="Times New Roman"/>
          <w:color w:val="1E1E1E"/>
          <w:lang w:eastAsia="ru-RU"/>
        </w:rPr>
        <w:t>ботают над своей методической темой. Каждый инженер по обучению разработал и продолжает разрабатывать учебно-методические комплексы, адаптированные под запросы предприятий и отвечающие требованиям разработчиков ЧПУ.</w:t>
      </w:r>
    </w:p>
    <w:p w:rsidR="005C7919" w:rsidRPr="00C12441" w:rsidRDefault="00531082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В течение 201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7г. Центр провёл на своей базе 1</w:t>
      </w:r>
      <w:r w:rsidR="005C791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научно-практическ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ую конференцию</w:t>
      </w:r>
      <w:r w:rsidR="005C791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федерального уровня, на котор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ой</w:t>
      </w:r>
      <w:r w:rsidR="005C7919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рассматривались 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 xml:space="preserve">возможности повышения эффективности работы предприятий. В работе конференции принимали участие </w:t>
      </w:r>
      <w:proofErr w:type="gramStart"/>
      <w:r w:rsidR="00554544">
        <w:rPr>
          <w:rFonts w:ascii="Times New Roman" w:eastAsia="Times New Roman" w:hAnsi="Times New Roman" w:cs="Times New Roman"/>
          <w:color w:val="1E1E1E"/>
          <w:lang w:eastAsia="ru-RU"/>
        </w:rPr>
        <w:t xml:space="preserve">компании  </w:t>
      </w:r>
      <w:r w:rsidR="00554544">
        <w:rPr>
          <w:rFonts w:ascii="Times New Roman" w:eastAsia="Times New Roman" w:hAnsi="Times New Roman" w:cs="Times New Roman"/>
          <w:color w:val="1E1E1E"/>
          <w:lang w:val="en-US" w:eastAsia="ru-RU"/>
        </w:rPr>
        <w:t>FANUC</w:t>
      </w:r>
      <w:proofErr w:type="gramEnd"/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,</w:t>
      </w:r>
      <w:r w:rsidR="00554544" w:rsidRPr="00554544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554544">
        <w:rPr>
          <w:rFonts w:ascii="Times New Roman" w:eastAsia="Times New Roman" w:hAnsi="Times New Roman" w:cs="Times New Roman"/>
          <w:color w:val="1E1E1E"/>
          <w:lang w:val="en-US" w:eastAsia="ru-RU"/>
        </w:rPr>
        <w:t>COLEX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 xml:space="preserve">. </w:t>
      </w:r>
      <w:r w:rsidR="005C7919" w:rsidRPr="00C12441">
        <w:rPr>
          <w:rFonts w:ascii="Times New Roman" w:eastAsia="Times New Roman" w:hAnsi="Times New Roman" w:cs="Times New Roman"/>
          <w:color w:val="1E1E1E"/>
          <w:lang w:eastAsia="ru-RU"/>
        </w:rPr>
        <w:t>Все сотрудники Центра при</w:t>
      </w:r>
      <w:r w:rsidR="00554544">
        <w:rPr>
          <w:rFonts w:ascii="Times New Roman" w:eastAsia="Times New Roman" w:hAnsi="Times New Roman" w:cs="Times New Roman"/>
          <w:color w:val="1E1E1E"/>
          <w:lang w:eastAsia="ru-RU"/>
        </w:rPr>
        <w:t>нимали активное участие в данном мероприятии</w:t>
      </w:r>
      <w:r w:rsidR="005C7919" w:rsidRPr="00C12441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415316" w:rsidRPr="00C12441" w:rsidRDefault="00AC1FD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 xml:space="preserve">2.4. </w:t>
      </w:r>
      <w:r w:rsidR="003E2827" w:rsidRPr="00C1244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Материально-техническое, у</w:t>
      </w:r>
      <w:r w:rsidRPr="00C1244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чебно-методическое и библиотечно-информационное обеспечение реализации образовательных программ</w:t>
      </w:r>
    </w:p>
    <w:p w:rsidR="00F1284F" w:rsidRPr="00C12441" w:rsidRDefault="00E01DFD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Центр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располагает достаточной материально-технической базой для ведения образовательной деятельности. </w:t>
      </w:r>
      <w:r w:rsidR="00F1284F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Деятельность Центра 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осуществля</w:t>
      </w:r>
      <w:r w:rsidR="00F1284F" w:rsidRPr="00C12441">
        <w:rPr>
          <w:rFonts w:ascii="Times New Roman" w:eastAsia="Times New Roman" w:hAnsi="Times New Roman" w:cs="Times New Roman"/>
          <w:color w:val="1E1E1E"/>
          <w:lang w:eastAsia="ru-RU"/>
        </w:rPr>
        <w:t>лась</w:t>
      </w:r>
      <w:r w:rsidR="00B23DE8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F1284F" w:rsidRPr="00C12441">
        <w:rPr>
          <w:rFonts w:ascii="Times New Roman" w:eastAsia="Times New Roman" w:hAnsi="Times New Roman" w:cs="Times New Roman"/>
          <w:color w:val="1E1E1E"/>
          <w:lang w:eastAsia="ru-RU"/>
        </w:rPr>
        <w:t>согласно следующих договоров:</w:t>
      </w:r>
    </w:p>
    <w:p w:rsidR="00AC1FD0" w:rsidRPr="00C12441" w:rsidRDefault="00F1284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- Договор аренды объекта муниципального недвижимого имущества № 06-13 от 31.05.2013г. общей площадью 64,3 </w:t>
      </w:r>
      <w:proofErr w:type="spellStart"/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кв.м</w:t>
      </w:r>
      <w:proofErr w:type="spellEnd"/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. и по </w:t>
      </w:r>
      <w:r w:rsidRPr="00C12441">
        <w:rPr>
          <w:rFonts w:ascii="Times New Roman" w:eastAsia="Times New Roman" w:hAnsi="Times New Roman" w:cs="Times New Roman"/>
          <w:lang w:eastAsia="ru-RU"/>
        </w:rPr>
        <w:t xml:space="preserve">договору аренды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нежилого помещения от 09.11.2016г.</w:t>
      </w:r>
      <w:r w:rsidR="00B23DE8" w:rsidRPr="00C12441">
        <w:rPr>
          <w:rFonts w:ascii="Times New Roman" w:eastAsia="Times New Roman" w:hAnsi="Times New Roman" w:cs="Times New Roman"/>
          <w:color w:val="1E1E1E"/>
          <w:lang w:eastAsia="ru-RU"/>
        </w:rPr>
        <w:t>помещениях общей площадью 546</w:t>
      </w:r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>кв.м</w:t>
      </w:r>
      <w:proofErr w:type="spellEnd"/>
      <w:r w:rsidR="00415316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. </w:t>
      </w:r>
    </w:p>
    <w:p w:rsidR="00415316" w:rsidRPr="00C124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В составе используемых помещений имеются аудитории для лекционных, семинарских и практических занятий</w:t>
      </w:r>
      <w:r w:rsidRPr="00C1244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C1FD0" w:rsidRPr="00C12441">
        <w:rPr>
          <w:rFonts w:ascii="Times New Roman" w:eastAsia="Times New Roman" w:hAnsi="Times New Roman" w:cs="Times New Roman"/>
          <w:lang w:eastAsia="ru-RU"/>
        </w:rPr>
        <w:t xml:space="preserve">учебная лаборатория с промышленным оборудованием, 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административные и служебные помещения.</w:t>
      </w:r>
      <w:r w:rsidR="00AC1FD0"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</w:p>
    <w:p w:rsidR="00415316" w:rsidRPr="00C124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>Образовательная деятельнос</w:t>
      </w:r>
      <w:r w:rsidR="00B23DE8" w:rsidRPr="00C12441">
        <w:rPr>
          <w:rFonts w:ascii="Times New Roman" w:eastAsia="Times New Roman" w:hAnsi="Times New Roman" w:cs="Times New Roman"/>
          <w:color w:val="1E1E1E"/>
          <w:lang w:eastAsia="ru-RU"/>
        </w:rPr>
        <w:t>ть в Центре</w:t>
      </w:r>
      <w:r w:rsidRPr="00C12441">
        <w:rPr>
          <w:rFonts w:ascii="Times New Roman" w:eastAsia="Times New Roman" w:hAnsi="Times New Roman" w:cs="Times New Roman"/>
          <w:color w:val="1E1E1E"/>
          <w:lang w:eastAsia="ru-RU"/>
        </w:rPr>
        <w:t xml:space="preserve"> организована с применением новейшего оборудования и современных технологий обучения.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AC1FD0" w:rsidRPr="00A95641" w:rsidTr="00AC1FD0">
        <w:tc>
          <w:tcPr>
            <w:tcW w:w="704" w:type="dxa"/>
          </w:tcPr>
          <w:p w:rsidR="00AC1FD0" w:rsidRPr="00A95641" w:rsidRDefault="00AC1FD0" w:rsidP="00A95641">
            <w:pPr>
              <w:shd w:val="clear" w:color="auto" w:fill="FFFFFF"/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7229" w:type="dxa"/>
          </w:tcPr>
          <w:p w:rsidR="00AC1FD0" w:rsidRPr="00A95641" w:rsidRDefault="00AC1FD0" w:rsidP="00A95641">
            <w:pPr>
              <w:shd w:val="clear" w:color="auto" w:fill="FFFFFF"/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412" w:type="dxa"/>
          </w:tcPr>
          <w:p w:rsidR="00AC1FD0" w:rsidRPr="00A95641" w:rsidRDefault="00AC1FD0" w:rsidP="00A95641">
            <w:pPr>
              <w:shd w:val="clear" w:color="auto" w:fill="FFFFFF"/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Кол-во</w:t>
            </w:r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Малогабаритный токарный станок ФЗТ-D180(с ЧПУ CNC Омега с комплектом инструментов и приспособлений)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 со стойкой «Маяк»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KIT450 (Станок токарно-винторезный HYUNDAI-KIA-450 с ЧПУ)</w:t>
            </w:r>
            <w:r w:rsidR="004D2F86"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AA52B0" w:rsidTr="004D2F86">
        <w:tc>
          <w:tcPr>
            <w:tcW w:w="704" w:type="dxa"/>
          </w:tcPr>
          <w:p w:rsidR="008E42A9" w:rsidRPr="00997235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997235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VM702H</w:t>
            </w:r>
            <w:r w:rsidR="004D2F86"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997235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Токарный обрабатывающий центр VT-21MSC  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Вертикальный фрезерный обрабатывающий центр с ЧПУ (модель V2.5)FANUC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1шт</w:t>
            </w:r>
          </w:p>
        </w:tc>
      </w:tr>
      <w:tr w:rsidR="004D2F86" w:rsidRPr="00AA52B0" w:rsidTr="004D2F86">
        <w:tc>
          <w:tcPr>
            <w:tcW w:w="704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997235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Горизонтальный токарный станок с ЧПУ (модель NL502SC) FANUC</w:t>
            </w:r>
          </w:p>
        </w:tc>
        <w:tc>
          <w:tcPr>
            <w:tcW w:w="1412" w:type="dxa"/>
          </w:tcPr>
          <w:p w:rsidR="004D2F86" w:rsidRPr="00997235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99723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554544" w:rsidRDefault="00554544" w:rsidP="00AA52B0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1D1C42" w:rsidRPr="00A95641" w:rsidRDefault="001D1C42" w:rsidP="00AA52B0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>Аудитории оснащены необходимым мультимедийным оборудованием, компьютерами и офисной техникой,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1D1C42" w:rsidRPr="00A95641" w:rsidTr="001D1C42">
        <w:tc>
          <w:tcPr>
            <w:tcW w:w="704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№</w:t>
            </w:r>
          </w:p>
        </w:tc>
        <w:tc>
          <w:tcPr>
            <w:tcW w:w="7229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Наименование оборудования</w:t>
            </w:r>
          </w:p>
        </w:tc>
        <w:tc>
          <w:tcPr>
            <w:tcW w:w="1412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Кол-во</w:t>
            </w:r>
          </w:p>
        </w:tc>
      </w:tr>
      <w:tr w:rsidR="001D1C42" w:rsidRPr="00A95641" w:rsidTr="00A95641">
        <w:trPr>
          <w:trHeight w:val="479"/>
        </w:trPr>
        <w:tc>
          <w:tcPr>
            <w:tcW w:w="704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  <w:tc>
          <w:tcPr>
            <w:tcW w:w="7229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Персональные компьютеры</w:t>
            </w:r>
          </w:p>
        </w:tc>
        <w:tc>
          <w:tcPr>
            <w:tcW w:w="1412" w:type="dxa"/>
          </w:tcPr>
          <w:p w:rsidR="001D1C42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8</w:t>
            </w:r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proofErr w:type="spellStart"/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</w:p>
        </w:tc>
      </w:tr>
      <w:tr w:rsidR="001D1C42" w:rsidRPr="00A95641" w:rsidTr="001D1C42">
        <w:tc>
          <w:tcPr>
            <w:tcW w:w="704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  <w:tc>
          <w:tcPr>
            <w:tcW w:w="7229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Проектор</w:t>
            </w:r>
          </w:p>
        </w:tc>
        <w:tc>
          <w:tcPr>
            <w:tcW w:w="1412" w:type="dxa"/>
          </w:tcPr>
          <w:p w:rsidR="001D1C42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proofErr w:type="spellStart"/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</w:p>
        </w:tc>
      </w:tr>
      <w:tr w:rsidR="001D1C42" w:rsidRPr="00A95641" w:rsidTr="001D1C42">
        <w:tc>
          <w:tcPr>
            <w:tcW w:w="704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</w:p>
        </w:tc>
        <w:tc>
          <w:tcPr>
            <w:tcW w:w="7229" w:type="dxa"/>
          </w:tcPr>
          <w:p w:rsidR="001D1C42" w:rsidRPr="00A95641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Ноутбук</w:t>
            </w:r>
          </w:p>
        </w:tc>
        <w:tc>
          <w:tcPr>
            <w:tcW w:w="1412" w:type="dxa"/>
          </w:tcPr>
          <w:p w:rsidR="001D1C42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</w:t>
            </w:r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proofErr w:type="spellStart"/>
            <w:r w:rsidR="001D1C42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</w:p>
        </w:tc>
      </w:tr>
      <w:tr w:rsidR="00554544" w:rsidRPr="00A95641" w:rsidTr="001D1C42">
        <w:tc>
          <w:tcPr>
            <w:tcW w:w="704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</w:t>
            </w:r>
          </w:p>
        </w:tc>
        <w:tc>
          <w:tcPr>
            <w:tcW w:w="7229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Принтер с функцией сканера</w:t>
            </w:r>
          </w:p>
        </w:tc>
        <w:tc>
          <w:tcPr>
            <w:tcW w:w="1412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2 </w:t>
            </w:r>
            <w:proofErr w:type="spell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</w:p>
        </w:tc>
      </w:tr>
      <w:tr w:rsidR="00554544" w:rsidRPr="00A95641" w:rsidTr="001D1C42">
        <w:tc>
          <w:tcPr>
            <w:tcW w:w="704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5</w:t>
            </w:r>
          </w:p>
        </w:tc>
        <w:tc>
          <w:tcPr>
            <w:tcW w:w="7229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Телефон</w:t>
            </w:r>
          </w:p>
        </w:tc>
        <w:tc>
          <w:tcPr>
            <w:tcW w:w="1412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7 </w:t>
            </w:r>
            <w:proofErr w:type="spell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</w:p>
        </w:tc>
      </w:tr>
      <w:tr w:rsidR="00554544" w:rsidRPr="00A95641" w:rsidTr="001D1C42">
        <w:tc>
          <w:tcPr>
            <w:tcW w:w="704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6</w:t>
            </w:r>
          </w:p>
        </w:tc>
        <w:tc>
          <w:tcPr>
            <w:tcW w:w="7229" w:type="dxa"/>
          </w:tcPr>
          <w:p w:rsidR="00554544" w:rsidRPr="00A95641" w:rsidRDefault="00554544" w:rsidP="00554544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Программное обеспечение для имитаторов систем ЧПУ FANUC, </w:t>
            </w:r>
          </w:p>
        </w:tc>
        <w:tc>
          <w:tcPr>
            <w:tcW w:w="1412" w:type="dxa"/>
          </w:tcPr>
          <w:p w:rsidR="00554544" w:rsidRPr="00A95641" w:rsidRDefault="00554544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11 </w:t>
            </w:r>
            <w:proofErr w:type="spell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шт</w:t>
            </w:r>
            <w:proofErr w:type="spellEnd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- на каждое учебное место</w:t>
            </w:r>
          </w:p>
        </w:tc>
      </w:tr>
      <w:tr w:rsidR="00A95641" w:rsidRPr="00A95641" w:rsidTr="00A95641">
        <w:trPr>
          <w:trHeight w:val="70"/>
        </w:trPr>
        <w:tc>
          <w:tcPr>
            <w:tcW w:w="9345" w:type="dxa"/>
            <w:gridSpan w:val="3"/>
          </w:tcPr>
          <w:p w:rsidR="00A95641" w:rsidRPr="00A95641" w:rsidRDefault="00A95641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</w:tbl>
    <w:p w:rsidR="008824E4" w:rsidRPr="00A95641" w:rsidRDefault="008824E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Программное обеспечение постоянно обновляется. </w:t>
      </w:r>
    </w:p>
    <w:p w:rsidR="00133E14" w:rsidRPr="00A95641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>В рамках организации учебного процесса в Центре создана и постоянно пополняется электронная библиотека, сформирована библиотека на бумажных носителях.</w:t>
      </w:r>
    </w:p>
    <w:p w:rsidR="004B6699" w:rsidRPr="00A95641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С 2012 г. ЦПК «Становление» разрабатывает и издаёт рабочие тетради и учебные пособия, отвечающие требованиям и запросам потребителей образовательной услуги. Специализируясь на выпуске литературы для специалистов по программированию, эксплуатации, ремонту и сервису станков и роботов с числовым программным управлением, пособия получают экспертную оценку производителей систем ЧПУ; </w:t>
      </w:r>
      <w:r w:rsidR="00415316"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Для организации питания обучающихся выделено отдельное помещение и заключен договор на организацию услуг общественного питания. </w:t>
      </w:r>
    </w:p>
    <w:p w:rsidR="00415316" w:rsidRPr="00A95641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>В целом материально-техническое обеспечение позволяет проводить образовательную деятельность в сфере дополнительного профессионального образования.</w:t>
      </w:r>
    </w:p>
    <w:p w:rsidR="00FB517F" w:rsidRPr="00A95641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b/>
          <w:i/>
          <w:color w:val="1E1E1E"/>
          <w:lang w:eastAsia="ru-RU"/>
        </w:rPr>
        <w:t xml:space="preserve">2.5. Сведения об образовании и повышении квалификации сотрудников </w:t>
      </w:r>
    </w:p>
    <w:p w:rsidR="00FB517F" w:rsidRPr="00A95641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>В Центре работает 1</w:t>
      </w:r>
      <w:r w:rsidR="00CA72C4" w:rsidRPr="00A95641">
        <w:rPr>
          <w:rFonts w:ascii="Times New Roman" w:eastAsia="Times New Roman" w:hAnsi="Times New Roman" w:cs="Times New Roman"/>
          <w:color w:val="1E1E1E"/>
          <w:lang w:eastAsia="ru-RU"/>
        </w:rPr>
        <w:t>1</w:t>
      </w: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штатных и 1 внештатный сотрудник, 1</w:t>
      </w:r>
      <w:r w:rsidR="00CA72C4" w:rsidRPr="00A95641">
        <w:rPr>
          <w:rFonts w:ascii="Times New Roman" w:eastAsia="Times New Roman" w:hAnsi="Times New Roman" w:cs="Times New Roman"/>
          <w:color w:val="1E1E1E"/>
          <w:lang w:eastAsia="ru-RU"/>
        </w:rPr>
        <w:t>1</w:t>
      </w: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из них имеют высшее образование.</w:t>
      </w:r>
      <w:r w:rsidR="00CA72C4"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Образовательную деятельность ведут 5 </w:t>
      </w:r>
      <w:proofErr w:type="gramStart"/>
      <w:r w:rsidR="00CA72C4" w:rsidRPr="00A95641">
        <w:rPr>
          <w:rFonts w:ascii="Times New Roman" w:eastAsia="Times New Roman" w:hAnsi="Times New Roman" w:cs="Times New Roman"/>
          <w:color w:val="1E1E1E"/>
          <w:lang w:eastAsia="ru-RU"/>
        </w:rPr>
        <w:t>чел- у</w:t>
      </w:r>
      <w:proofErr w:type="gramEnd"/>
      <w:r w:rsidR="00CA72C4"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всех высшее образование.</w:t>
      </w:r>
      <w:r w:rsidR="00A95641"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r w:rsidR="007459D1" w:rsidRPr="00A95641">
        <w:rPr>
          <w:rFonts w:ascii="Times New Roman" w:eastAsia="Times New Roman" w:hAnsi="Times New Roman" w:cs="Times New Roman"/>
          <w:lang w:eastAsia="ru-RU"/>
        </w:rPr>
        <w:t xml:space="preserve">Центр при формировании преподавательского состава учитывает основные требования, определяющие необходимый уровень подготовки и стажа работы. </w:t>
      </w: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>Преподавател</w:t>
      </w:r>
      <w:r w:rsidR="007F56FC">
        <w:rPr>
          <w:rFonts w:ascii="Times New Roman" w:eastAsia="Times New Roman" w:hAnsi="Times New Roman" w:cs="Times New Roman"/>
          <w:color w:val="1E1E1E"/>
          <w:lang w:eastAsia="ru-RU"/>
        </w:rPr>
        <w:t>ьской деятельностью занимаются 5</w:t>
      </w:r>
      <w:r w:rsidRPr="00A95641">
        <w:rPr>
          <w:rFonts w:ascii="Times New Roman" w:eastAsia="Times New Roman" w:hAnsi="Times New Roman" w:cs="Times New Roman"/>
          <w:color w:val="1E1E1E"/>
          <w:lang w:eastAsia="ru-RU"/>
        </w:rPr>
        <w:t xml:space="preserve"> сотруднико</w:t>
      </w:r>
      <w:r w:rsidR="007459D1" w:rsidRPr="00A95641">
        <w:rPr>
          <w:rFonts w:ascii="Times New Roman" w:eastAsia="Times New Roman" w:hAnsi="Times New Roman" w:cs="Times New Roman"/>
          <w:color w:val="1E1E1E"/>
          <w:lang w:eastAsia="ru-RU"/>
        </w:rPr>
        <w:t>в, все имеют высшее образование и систематически повышают квалификацию: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6"/>
        <w:gridCol w:w="1785"/>
        <w:gridCol w:w="3533"/>
        <w:gridCol w:w="2971"/>
      </w:tblGrid>
      <w:tr w:rsidR="0065606D" w:rsidRPr="00A95641" w:rsidTr="00AF1071">
        <w:tc>
          <w:tcPr>
            <w:tcW w:w="1056" w:type="dxa"/>
          </w:tcPr>
          <w:p w:rsidR="0065606D" w:rsidRPr="00A95641" w:rsidRDefault="0065606D" w:rsidP="0065606D">
            <w:pPr>
              <w:spacing w:before="195" w:after="180"/>
              <w:ind w:left="720"/>
              <w:contextualSpacing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  <w:tc>
          <w:tcPr>
            <w:tcW w:w="1785" w:type="dxa"/>
          </w:tcPr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Селянинова Вера</w:t>
            </w:r>
          </w:p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Александровна</w:t>
            </w:r>
          </w:p>
        </w:tc>
        <w:tc>
          <w:tcPr>
            <w:tcW w:w="3533" w:type="dxa"/>
          </w:tcPr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ПГПИ -1981г. (учитель русского языка и литературы)</w:t>
            </w:r>
          </w:p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ЛГПУ-2002г (менеджер. Государственное и муниципальное управление)</w:t>
            </w:r>
          </w:p>
          <w:p w:rsidR="00A846FE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Ученая степень</w:t>
            </w:r>
            <w:r w:rsidR="00A846FE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«</w:t>
            </w: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кандидат педагогических </w:t>
            </w:r>
            <w:proofErr w:type="gram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наук</w:t>
            </w:r>
            <w:r w:rsidR="00A846FE"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»</w:t>
            </w: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-</w:t>
            </w:r>
            <w:proofErr w:type="gramEnd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2012г, </w:t>
            </w:r>
          </w:p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2014г –МБА (международный менеджмент)</w:t>
            </w:r>
          </w:p>
        </w:tc>
        <w:tc>
          <w:tcPr>
            <w:tcW w:w="2971" w:type="dxa"/>
          </w:tcPr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Центр делового образования Фонда «</w:t>
            </w:r>
            <w:proofErr w:type="gram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Стратегия»-</w:t>
            </w:r>
            <w:proofErr w:type="gramEnd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2017 (Рефлективное управление, Основы </w:t>
            </w:r>
            <w:r w:rsidRPr="00A95641">
              <w:rPr>
                <w:rFonts w:ascii="Times New Roman" w:eastAsia="Times New Roman" w:hAnsi="Times New Roman" w:cs="Times New Roman"/>
                <w:color w:val="1E1E1E"/>
                <w:lang w:val="en-US" w:eastAsia="ru-RU"/>
              </w:rPr>
              <w:t>PR</w:t>
            </w: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и интернет-продвижения, Построение отношений с государственными и муниципальными структурами)</w:t>
            </w:r>
          </w:p>
          <w:p w:rsidR="00F8191C" w:rsidRPr="00A956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Аттестационный центр экспертизы и занятости2017г</w:t>
            </w:r>
          </w:p>
          <w:p w:rsidR="00F8191C" w:rsidRPr="00A95641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«Подготовка должностных лиц и специалистов </w:t>
            </w:r>
            <w:proofErr w:type="spellStart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ГОи</w:t>
            </w:r>
            <w:proofErr w:type="spellEnd"/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единой государственной системы предупреждения и ликвидации ЧС»</w:t>
            </w:r>
          </w:p>
          <w:p w:rsidR="001600C4" w:rsidRPr="00A95641" w:rsidRDefault="0065606D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</w:p>
          <w:p w:rsidR="0065606D" w:rsidRPr="00A95641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Недели технологического лидерства)</w:t>
            </w:r>
          </w:p>
          <w:p w:rsidR="00BF4F6C" w:rsidRPr="00A95641" w:rsidRDefault="00BF4F6C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A95641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Повышение квалификации в АНО </w:t>
            </w:r>
          </w:p>
        </w:tc>
      </w:tr>
      <w:tr w:rsidR="0065606D" w:rsidRPr="0065606D" w:rsidTr="00F8191C">
        <w:trPr>
          <w:trHeight w:val="2542"/>
        </w:trPr>
        <w:tc>
          <w:tcPr>
            <w:tcW w:w="1056" w:type="dxa"/>
          </w:tcPr>
          <w:p w:rsidR="0065606D" w:rsidRPr="0065606D" w:rsidRDefault="001600C4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5" w:type="dxa"/>
          </w:tcPr>
          <w:p w:rsidR="0065606D" w:rsidRPr="0065606D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Котельников Алексей В</w:t>
            </w:r>
            <w:r w:rsidR="001600C4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алерьевич</w:t>
            </w:r>
          </w:p>
        </w:tc>
        <w:tc>
          <w:tcPr>
            <w:tcW w:w="3533" w:type="dxa"/>
          </w:tcPr>
          <w:p w:rsidR="0065606D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ПГТУ-2010</w:t>
            </w:r>
            <w:r w:rsidR="006A188E"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(Бакалавр техники и технологии по направлению «Технология, оборудование и автоматизация машиностроительных производств»</w:t>
            </w:r>
          </w:p>
          <w:p w:rsidR="00EB17E2" w:rsidRPr="0065606D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Пермский авиационный техникум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Швецова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(Технология машиностроения)</w:t>
            </w:r>
          </w:p>
        </w:tc>
        <w:tc>
          <w:tcPr>
            <w:tcW w:w="2971" w:type="dxa"/>
          </w:tcPr>
          <w:p w:rsidR="0065606D" w:rsidRDefault="006A188E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</w:t>
            </w:r>
            <w:r w:rsidR="000245E9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,1916г</w:t>
            </w:r>
          </w:p>
          <w:p w:rsidR="000245E9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B17E2" w:rsidRP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B17E2" w:rsidRPr="00EB17E2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B17E2" w:rsidRPr="00EB17E2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</w:t>
            </w:r>
            <w:r w:rsidRPr="00EB17E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 эксплуатация станков с ЧПУ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7F56FC" w:rsidRPr="00EB17E2" w:rsidRDefault="007F56FC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Школа наставников, 2017</w:t>
            </w:r>
          </w:p>
        </w:tc>
      </w:tr>
      <w:tr w:rsidR="0065606D" w:rsidRPr="0065606D" w:rsidTr="00AF1071">
        <w:tc>
          <w:tcPr>
            <w:tcW w:w="1056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Леденцова Екатерина Алексеевна</w:t>
            </w:r>
          </w:p>
        </w:tc>
        <w:tc>
          <w:tcPr>
            <w:tcW w:w="3533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ПГУ-2007 (Филолог. Преподаватель по специальности «Филология»)</w:t>
            </w:r>
          </w:p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ПГНИУ-2013 (Менеджмент организации)</w:t>
            </w:r>
          </w:p>
        </w:tc>
        <w:tc>
          <w:tcPr>
            <w:tcW w:w="2971" w:type="dxa"/>
          </w:tcPr>
          <w:p w:rsidR="0094240F" w:rsidRPr="0065606D" w:rsidRDefault="00357FA8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Школа наставников, 2017г</w:t>
            </w:r>
          </w:p>
        </w:tc>
      </w:tr>
      <w:tr w:rsidR="0065606D" w:rsidRPr="0065606D" w:rsidTr="00AF1071">
        <w:tc>
          <w:tcPr>
            <w:tcW w:w="1056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Лещук</w:t>
            </w:r>
            <w:proofErr w:type="spellEnd"/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3533" w:type="dxa"/>
          </w:tcPr>
          <w:p w:rsidR="0065606D" w:rsidRP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ПГТУ-2011 (Бакалавр техники и технологии по направлению «Энергомашиностроение»)</w:t>
            </w:r>
          </w:p>
          <w:p w:rsidR="0065606D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ПНИПУ-2013 (Магистр по направлению подготовки Энергетическое машиностроение)</w:t>
            </w:r>
          </w:p>
          <w:p w:rsidR="00E72120" w:rsidRPr="0065606D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B17E2" w:rsidRP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B17E2" w:rsidRP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B17E2" w:rsidRPr="00EB17E2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</w:t>
            </w:r>
            <w:r w:rsidRPr="00EB17E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357FA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</w:t>
            </w:r>
          </w:p>
          <w:p w:rsidR="0065606D" w:rsidRPr="0065606D" w:rsidRDefault="0065606D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A864A7" w:rsidRPr="0065606D" w:rsidTr="00A864A7">
        <w:trPr>
          <w:trHeight w:val="10153"/>
        </w:trPr>
        <w:tc>
          <w:tcPr>
            <w:tcW w:w="1056" w:type="dxa"/>
          </w:tcPr>
          <w:p w:rsidR="00A864A7" w:rsidRPr="0065606D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5" w:type="dxa"/>
          </w:tcPr>
          <w:p w:rsidR="00A864A7" w:rsidRPr="0065606D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Долинин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3533" w:type="dxa"/>
          </w:tcPr>
          <w:p w:rsidR="00A864A7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65606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ПГТУ-2011 (Бакалавр техники и технологии по направлению «Технология, оборудование и автоматизация машиностроительных производств» </w:t>
            </w:r>
          </w:p>
          <w:p w:rsidR="00A864A7" w:rsidRPr="0065606D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Кандидат технических наук</w:t>
            </w:r>
          </w:p>
        </w:tc>
        <w:tc>
          <w:tcPr>
            <w:tcW w:w="2971" w:type="dxa"/>
          </w:tcPr>
          <w:p w:rsidR="00A864A7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Сертификат Методика компетенций (Берлин)</w:t>
            </w:r>
          </w:p>
          <w:p w:rsidR="00A864A7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Методика профессионального образования на предприятии.2015г</w:t>
            </w:r>
          </w:p>
          <w:p w:rsidR="00A864A7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A864A7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A864A7" w:rsidRPr="00EB17E2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A864A7" w:rsidRPr="00EB17E2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A864A7" w:rsidRPr="00EB17E2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</w:t>
            </w:r>
            <w:r w:rsidRPr="00EB17E2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A864A7" w:rsidRPr="00142309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 эксплуатация станков с ЧПУ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</w:p>
          <w:p w:rsidR="00A864A7" w:rsidRPr="00357FA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Разработка управляющих программ в системе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SPRUT</w:t>
            </w:r>
            <w:r w:rsidRPr="00357FA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A864A7" w:rsidRPr="0065606D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65606D" w:rsidRPr="0065606D" w:rsidRDefault="0065606D" w:rsidP="0065606D">
      <w:pPr>
        <w:shd w:val="clear" w:color="auto" w:fill="FFFFFF"/>
        <w:spacing w:before="195" w:after="180" w:line="240" w:lineRule="auto"/>
      </w:pPr>
    </w:p>
    <w:p w:rsidR="00DD58F3" w:rsidRPr="007F56FC" w:rsidRDefault="002A1B4F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lang w:eastAsia="ru-RU"/>
        </w:rPr>
      </w:pPr>
      <w:r w:rsidRPr="007F56FC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3.</w:t>
      </w:r>
      <w:r w:rsidR="00DD58F3" w:rsidRPr="007F56FC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Анализ контингента</w:t>
      </w:r>
    </w:p>
    <w:p w:rsidR="00E978FB" w:rsidRPr="007F56FC" w:rsidRDefault="005C7919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7F56FC">
        <w:rPr>
          <w:rFonts w:ascii="Times New Roman" w:eastAsia="Times New Roman" w:hAnsi="Times New Roman" w:cs="Times New Roman"/>
          <w:bCs/>
          <w:color w:val="1E1E1E"/>
          <w:lang w:eastAsia="ru-RU"/>
        </w:rPr>
        <w:t>Потребителями услуги Центра в основном являются сотрудники предприятий,</w:t>
      </w:r>
    </w:p>
    <w:p w:rsidR="00E978FB" w:rsidRPr="007F56FC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7F56FC">
        <w:rPr>
          <w:rFonts w:ascii="Times New Roman" w:eastAsia="Times New Roman" w:hAnsi="Times New Roman" w:cs="Times New Roman"/>
          <w:bCs/>
          <w:color w:val="1E1E1E"/>
          <w:lang w:eastAsia="ru-RU"/>
        </w:rPr>
        <w:t>Организа</w:t>
      </w:r>
      <w:r w:rsidR="000245E9" w:rsidRPr="007F56FC">
        <w:rPr>
          <w:rFonts w:ascii="Times New Roman" w:eastAsia="Times New Roman" w:hAnsi="Times New Roman" w:cs="Times New Roman"/>
          <w:bCs/>
          <w:color w:val="1E1E1E"/>
          <w:lang w:eastAsia="ru-RU"/>
        </w:rPr>
        <w:t>ций. Данные о контингенте в 201</w:t>
      </w:r>
      <w:r w:rsidR="007F56FC">
        <w:rPr>
          <w:rFonts w:ascii="Times New Roman" w:eastAsia="Times New Roman" w:hAnsi="Times New Roman" w:cs="Times New Roman"/>
          <w:bCs/>
          <w:color w:val="1E1E1E"/>
          <w:lang w:eastAsia="ru-RU"/>
        </w:rPr>
        <w:t>7</w:t>
      </w:r>
      <w:r w:rsidRPr="007F56FC">
        <w:rPr>
          <w:rFonts w:ascii="Times New Roman" w:eastAsia="Times New Roman" w:hAnsi="Times New Roman" w:cs="Times New Roman"/>
          <w:bCs/>
          <w:color w:val="1E1E1E"/>
          <w:lang w:eastAsia="ru-RU"/>
        </w:rPr>
        <w:t>г приведены в таблице:</w:t>
      </w:r>
    </w:p>
    <w:p w:rsidR="00E978FB" w:rsidRPr="005C7919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E1E1E"/>
          <w:sz w:val="28"/>
          <w:szCs w:val="28"/>
          <w:lang w:eastAsia="ru-RU"/>
        </w:rPr>
        <w:t xml:space="preserve"> </w:t>
      </w:r>
      <w:r w:rsidR="007F56FC" w:rsidRPr="007F56FC">
        <w:drawing>
          <wp:inline distT="0" distB="0" distL="0" distR="0">
            <wp:extent cx="6088839" cy="7651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67" cy="7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FC" w:rsidRDefault="007F56FC" w:rsidP="00E978FB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E1E1E"/>
          <w:lang w:eastAsia="ru-RU"/>
        </w:rPr>
      </w:pPr>
    </w:p>
    <w:p w:rsidR="0005797B" w:rsidRPr="007F56FC" w:rsidRDefault="00DD58F3" w:rsidP="00E978FB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E1E1E"/>
          <w:lang w:eastAsia="ru-RU"/>
        </w:rPr>
      </w:pPr>
      <w:r w:rsidRPr="007F56FC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lastRenderedPageBreak/>
        <w:t>4.</w:t>
      </w:r>
      <w:r w:rsidR="0005797B" w:rsidRPr="007F56FC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Международная деятельность Центра</w:t>
      </w:r>
    </w:p>
    <w:p w:rsidR="00591DBE" w:rsidRPr="007F56FC" w:rsidRDefault="0005797B" w:rsidP="00D37936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7F56FC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Предусмотренная Болонским процессом интеграции Российской Федерации в европейское образовательное пространство предполагает расширение международных образовательных программ и развития академической мобильности преподавателей. </w:t>
      </w:r>
    </w:p>
    <w:p w:rsidR="000E2CD3" w:rsidRPr="004B737F" w:rsidRDefault="00591DBE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Сотрудники Центра неоднократно принимали участие в международных конференциях и форумах.</w:t>
      </w:r>
    </w:p>
    <w:p w:rsidR="000E2CD3" w:rsidRPr="004B737F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 Центр активно взаимодействует с производителями систем ЧПУ (Япония, Германия), а также осуществляет обучение специалистов стран СНГ. Всего из стран СНГ в Цен</w:t>
      </w:r>
      <w:r w:rsidR="005A228E"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тре обучено</w:t>
      </w:r>
      <w:r w:rsidR="007F56FC"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267</w:t>
      </w:r>
      <w:r w:rsidR="005A228E"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 xml:space="preserve"> человек </w:t>
      </w: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предприятий Казахстана и Украины.</w:t>
      </w:r>
    </w:p>
    <w:p w:rsidR="000E2CD3" w:rsidRPr="004B737F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ЦПК «СТАНОВЛЕНИЕ» является серти</w:t>
      </w:r>
      <w:r w:rsidR="007F56FC"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фицированным центром от компании</w:t>
      </w:r>
      <w:r w:rsidR="0083589A" w:rsidRPr="004B737F">
        <w:rPr>
          <w:rFonts w:ascii="Times New Roman" w:eastAsia="Times New Roman" w:hAnsi="Times New Roman" w:cs="Times New Roman"/>
          <w:color w:val="1E1E1E"/>
          <w:lang w:eastAsia="ru-RU"/>
        </w:rPr>
        <w:t xml:space="preserve"> FANUC, </w:t>
      </w:r>
    </w:p>
    <w:p w:rsidR="000E2CD3" w:rsidRPr="004B737F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Сотрудники Центра активно участвовали в бизнес-</w:t>
      </w:r>
      <w:r w:rsidR="005A228E"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миссиях в Казахстан</w:t>
      </w: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.</w:t>
      </w:r>
    </w:p>
    <w:p w:rsidR="000E2CD3" w:rsidRPr="004B737F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Cs/>
          <w:color w:val="1E1E1E"/>
          <w:lang w:eastAsia="ru-RU"/>
        </w:rPr>
        <w:t>Ежегодно сотрудники Центра принимают участие в международной выставке по металлообработке в Экспоцентре в Москве, а также в региональных выставках в Казани, Новосибирске, Екатеринбурге.</w:t>
      </w:r>
    </w:p>
    <w:p w:rsidR="00415316" w:rsidRPr="004B737F" w:rsidRDefault="00415316" w:rsidP="005A228E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4B737F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ПОКАЗАТЕЛИ ДЕЯ</w:t>
      </w:r>
      <w:r w:rsidR="00B77691" w:rsidRPr="004B737F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ТЕЛЬНОСТИ ОРГАНИЗАЦИИ</w:t>
      </w:r>
    </w:p>
    <w:tbl>
      <w:tblPr>
        <w:tblW w:w="12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80"/>
        <w:gridCol w:w="2972"/>
        <w:gridCol w:w="2972"/>
      </w:tblGrid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N п/п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Показатели</w:t>
            </w:r>
          </w:p>
        </w:tc>
        <w:tc>
          <w:tcPr>
            <w:tcW w:w="2972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Единица измерения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bookmarkStart w:id="1" w:name="Par1008"/>
            <w:bookmarkEnd w:id="1"/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</w:t>
            </w:r>
          </w:p>
        </w:tc>
        <w:tc>
          <w:tcPr>
            <w:tcW w:w="8552" w:type="dxa"/>
            <w:gridSpan w:val="2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Образовательная деятельность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1.1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415316" w:rsidRPr="004B737F" w:rsidRDefault="007F56FC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603</w:t>
            </w:r>
            <w:r w:rsidR="00415316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/100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4B737F" w:rsidRDefault="003067F2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5316" w:rsidRPr="004B737F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  <w:p w:rsidR="00415316" w:rsidRPr="004B737F" w:rsidRDefault="00A623C9" w:rsidP="007F56F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56FC" w:rsidRPr="004B73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067F2" w:rsidRPr="004B73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7F56FC" w:rsidRPr="004B737F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972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человек/%</w:t>
            </w:r>
          </w:p>
          <w:p w:rsidR="00415316" w:rsidRPr="004B737F" w:rsidRDefault="007F56FC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16/9%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1.4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972" w:type="dxa"/>
            <w:hideMark/>
          </w:tcPr>
          <w:p w:rsidR="00415316" w:rsidRPr="004B737F" w:rsidRDefault="00CE16EF" w:rsidP="00E16DE9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E16DE9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32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1.4.1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4B737F" w:rsidRDefault="00174030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30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1.4.2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1.5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972" w:type="dxa"/>
            <w:hideMark/>
          </w:tcPr>
          <w:p w:rsidR="00415316" w:rsidRPr="004B737F" w:rsidRDefault="00F8191C" w:rsidP="007F56F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7F56F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15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lastRenderedPageBreak/>
              <w:t>1.5.1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4B737F" w:rsidRDefault="007F56FC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15</w:t>
            </w:r>
          </w:p>
        </w:tc>
      </w:tr>
      <w:tr w:rsidR="00415316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1.5.2</w:t>
            </w:r>
          </w:p>
        </w:tc>
        <w:tc>
          <w:tcPr>
            <w:tcW w:w="5580" w:type="dxa"/>
            <w:hideMark/>
          </w:tcPr>
          <w:p w:rsidR="00415316" w:rsidRPr="004B737F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4B737F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1.6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CE16EF" w:rsidRPr="004B737F" w:rsidRDefault="00CE16EF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1/</w:t>
            </w:r>
            <w:r w:rsidR="00174030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1.7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CE16EF" w:rsidRPr="004B737F" w:rsidRDefault="00174030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5</w:t>
            </w:r>
            <w:r w:rsidR="00CE16EF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/100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1.8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0/0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1.8</w:t>
            </w:r>
            <w:r w:rsidR="00CE16EF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.1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Высшая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0/0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1.8</w:t>
            </w:r>
            <w:r w:rsidR="00CE16EF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.2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Первая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человек/%</w:t>
            </w:r>
          </w:p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0/0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1.9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972" w:type="dxa"/>
            <w:hideMark/>
          </w:tcPr>
          <w:p w:rsidR="00CE16EF" w:rsidRPr="004B737F" w:rsidRDefault="00C1769D" w:rsidP="007F56F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CE16EF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</w:t>
            </w:r>
            <w:r w:rsidR="007F56F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0</w:t>
            </w:r>
            <w:r w:rsidR="001F4B91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7F56F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лет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2.1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972" w:type="dxa"/>
            <w:hideMark/>
          </w:tcPr>
          <w:p w:rsidR="00CE16EF" w:rsidRPr="004B737F" w:rsidRDefault="00CE16EF" w:rsidP="007F56F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1F4B91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7F56F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6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2.</w:t>
            </w:r>
            <w:r w:rsidR="00CE16EF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2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972" w:type="dxa"/>
            <w:hideMark/>
          </w:tcPr>
          <w:p w:rsidR="00CE16EF" w:rsidRPr="004B737F" w:rsidRDefault="00CE16EF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</w:t>
            </w:r>
            <w:r w:rsidR="007F56F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1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3.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Финансово-экономическая деятельность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CE16EF" w:rsidRPr="004B737F" w:rsidTr="003067F2">
        <w:tc>
          <w:tcPr>
            <w:tcW w:w="804" w:type="dxa"/>
            <w:hideMark/>
          </w:tcPr>
          <w:p w:rsidR="00CE16EF" w:rsidRPr="004B737F" w:rsidRDefault="00CE16EF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Par1064"/>
            <w:bookmarkEnd w:id="2"/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8552" w:type="dxa"/>
            <w:gridSpan w:val="2"/>
            <w:hideMark/>
          </w:tcPr>
          <w:p w:rsidR="00CE5776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Доходы образовательной организации по всем</w:t>
            </w:r>
            <w:r w:rsidR="00CE5776" w:rsidRPr="004B737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        </w:t>
            </w:r>
            <w:r w:rsidR="00CE5776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       </w:t>
            </w:r>
            <w:r w:rsidR="00CE5776" w:rsidRPr="004B737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</w:t>
            </w:r>
          </w:p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видам финансового обеспечения (</w:t>
            </w:r>
            <w:proofErr w:type="gramStart"/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деятельности)   </w:t>
            </w:r>
            <w:proofErr w:type="gramEnd"/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972" w:type="dxa"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                 </w:t>
            </w:r>
          </w:p>
          <w:p w:rsidR="00CE16EF" w:rsidRPr="004B737F" w:rsidRDefault="00CE16EF"/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4B737F" w:rsidRDefault="00EE1D4F" w:rsidP="00CD1D0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D1D00" w:rsidRPr="004B73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0323B" w:rsidRPr="004B737F"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  <w:r w:rsidR="00CE16EF"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5580" w:type="dxa"/>
            <w:hideMark/>
          </w:tcPr>
          <w:p w:rsidR="00CE16EF" w:rsidRPr="004B737F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Доходы </w:t>
            </w:r>
            <w:r w:rsidR="00CE16EF" w:rsidRPr="004B737F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4B737F" w:rsidRDefault="00A623C9" w:rsidP="00B0323B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B0323B" w:rsidRPr="004B737F">
              <w:rPr>
                <w:rFonts w:ascii="Times New Roman" w:eastAsia="Times New Roman" w:hAnsi="Times New Roman" w:cs="Times New Roman"/>
                <w:lang w:eastAsia="ru-RU"/>
              </w:rPr>
              <w:t>3918</w:t>
            </w:r>
            <w:r w:rsidR="00CE16EF" w:rsidRPr="004B737F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Инфраструктура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4.1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 20 м кв.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4.1.1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 0 кв. м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4.1.2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  0 кв. м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4.1.3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972" w:type="dxa"/>
            <w:hideMark/>
          </w:tcPr>
          <w:p w:rsidR="00CE16EF" w:rsidRPr="004B737F" w:rsidRDefault="00CE16EF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   </w:t>
            </w:r>
            <w:r w:rsidR="00F8191C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60</w:t>
            </w: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6 кв. м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4.2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  7 единиц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4.3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972" w:type="dxa"/>
            <w:hideMark/>
          </w:tcPr>
          <w:p w:rsidR="00CE16EF" w:rsidRPr="004B737F" w:rsidRDefault="00CE16EF" w:rsidP="00B0323B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</w:t>
            </w:r>
            <w:r w:rsidR="00B0323B"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55</w:t>
            </w: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единиц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4.4</w:t>
            </w:r>
          </w:p>
        </w:tc>
        <w:tc>
          <w:tcPr>
            <w:tcW w:w="5580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972" w:type="dxa"/>
            <w:hideMark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4B737F">
              <w:rPr>
                <w:rFonts w:ascii="Times New Roman" w:eastAsia="Times New Roman" w:hAnsi="Times New Roman" w:cs="Times New Roman"/>
                <w:color w:val="1E1E1E"/>
                <w:lang w:eastAsia="ru-RU"/>
              </w:rPr>
              <w:t xml:space="preserve"> 0 %</w:t>
            </w:r>
          </w:p>
        </w:tc>
      </w:tr>
      <w:tr w:rsidR="00CE16EF" w:rsidRPr="004B737F" w:rsidTr="00CE16EF">
        <w:trPr>
          <w:gridAfter w:val="1"/>
          <w:wAfter w:w="2972" w:type="dxa"/>
        </w:trPr>
        <w:tc>
          <w:tcPr>
            <w:tcW w:w="804" w:type="dxa"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5580" w:type="dxa"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2972" w:type="dxa"/>
          </w:tcPr>
          <w:p w:rsidR="00CE16EF" w:rsidRPr="004B737F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</w:tr>
    </w:tbl>
    <w:p w:rsidR="00265123" w:rsidRPr="00CE5776" w:rsidRDefault="00265123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5776">
        <w:rPr>
          <w:rFonts w:ascii="Times New Roman" w:eastAsia="Times New Roman" w:hAnsi="Times New Roman" w:cs="Times New Roman"/>
          <w:b/>
          <w:bCs/>
          <w:lang w:eastAsia="ru-RU"/>
        </w:rPr>
        <w:t>Социально-значимые проекты</w:t>
      </w:r>
    </w:p>
    <w:p w:rsidR="002204D9" w:rsidRPr="00CE5776" w:rsidRDefault="002204D9" w:rsidP="002204D9">
      <w:pPr>
        <w:shd w:val="clear" w:color="auto" w:fill="FFFFFF"/>
        <w:spacing w:before="195" w:after="18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E5776">
        <w:rPr>
          <w:rFonts w:ascii="Times New Roman" w:eastAsia="Times New Roman" w:hAnsi="Times New Roman" w:cs="Times New Roman"/>
          <w:lang w:eastAsia="ru-RU"/>
        </w:rPr>
        <w:t xml:space="preserve">ЦПК «Становление» ежегодно реализует социально-значимые проекты. </w:t>
      </w:r>
    </w:p>
    <w:p w:rsidR="009C1D25" w:rsidRPr="00CE5776" w:rsidRDefault="009C1D25" w:rsidP="009C1D2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lang w:eastAsia="ru-RU"/>
        </w:rPr>
        <w:t xml:space="preserve">Социальный и гражданский 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проект:</w:t>
      </w:r>
    </w:p>
    <w:p w:rsidR="009C1D25" w:rsidRPr="00CE5776" w:rsidRDefault="009C1D25" w:rsidP="009C1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«Патриотическое воспитание молодежи через изучение истории трудовых династий в промышленности». </w:t>
      </w:r>
    </w:p>
    <w:p w:rsidR="00415316" w:rsidRPr="00CE5776" w:rsidRDefault="00415316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Анализ и выводы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Комиссия обсудила результаты </w:t>
      </w:r>
      <w:proofErr w:type="spellStart"/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самообследования</w:t>
      </w:r>
      <w:proofErr w:type="spellEnd"/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и приня</w:t>
      </w:r>
      <w:r w:rsidR="0005797B" w:rsidRPr="00CE5776">
        <w:rPr>
          <w:rFonts w:ascii="Times New Roman" w:eastAsia="Times New Roman" w:hAnsi="Times New Roman" w:cs="Times New Roman"/>
          <w:color w:val="1E1E1E"/>
          <w:lang w:eastAsia="ru-RU"/>
        </w:rPr>
        <w:t>ла решение о готовности Автономной некоммерческой организации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дополнительного профессионального образования «</w:t>
      </w:r>
      <w:r w:rsidR="0005797B" w:rsidRPr="00CE5776">
        <w:rPr>
          <w:rFonts w:ascii="Times New Roman" w:eastAsia="Times New Roman" w:hAnsi="Times New Roman" w:cs="Times New Roman"/>
          <w:color w:val="1E1E1E"/>
          <w:lang w:eastAsia="ru-RU"/>
        </w:rPr>
        <w:t>Центр повышения квалификации «Становление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» к реализации дальнейшей образовательной деятельности.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Самообследование</w:t>
      </w:r>
      <w:proofErr w:type="spellEnd"/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показало, что организация и обеспечение образо</w:t>
      </w:r>
      <w:r w:rsidR="0005797B" w:rsidRPr="00CE5776">
        <w:rPr>
          <w:rFonts w:ascii="Times New Roman" w:eastAsia="Times New Roman" w:hAnsi="Times New Roman" w:cs="Times New Roman"/>
          <w:color w:val="1E1E1E"/>
          <w:lang w:eastAsia="ru-RU"/>
        </w:rPr>
        <w:t>вательной деятельности Центра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соответствует лицензионным требованиям.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 содержание программ дополнительного профессионального образования соответствует необходимым требованиям;</w:t>
      </w:r>
      <w:bookmarkStart w:id="3" w:name="_GoBack"/>
      <w:bookmarkEnd w:id="3"/>
    </w:p>
    <w:p w:rsidR="00276E7C" w:rsidRPr="00CE5776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lastRenderedPageBreak/>
        <w:t>- кадровый состав и материально-техническое обеспечение организации соответствуют требованиям для качественного оказания образовательной услуги под потребности бизнеса.</w:t>
      </w:r>
    </w:p>
    <w:p w:rsidR="00276E7C" w:rsidRPr="00CE5776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-анализ контингента слушателей, их географии показывает востребованность осуществляемых программ.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 качество подготовки обучающихся соответствует требованиям программ;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 усл</w:t>
      </w:r>
      <w:r w:rsidR="0005797B" w:rsidRPr="00CE5776">
        <w:rPr>
          <w:rFonts w:ascii="Times New Roman" w:eastAsia="Times New Roman" w:hAnsi="Times New Roman" w:cs="Times New Roman"/>
          <w:color w:val="1E1E1E"/>
          <w:lang w:eastAsia="ru-RU"/>
        </w:rPr>
        <w:t>овия реализации программ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соответствуют подготовке специалистов, заявленному уровню.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На основе анализа рекомендуется:</w:t>
      </w:r>
    </w:p>
    <w:p w:rsidR="00415316" w:rsidRPr="00CE5776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- продолжить работу по совершенствованию </w:t>
      </w:r>
      <w:r w:rsidR="00276E7C" w:rsidRPr="00CE5776">
        <w:rPr>
          <w:rFonts w:ascii="Times New Roman" w:eastAsia="Times New Roman" w:hAnsi="Times New Roman" w:cs="Times New Roman"/>
          <w:color w:val="1E1E1E"/>
          <w:lang w:eastAsia="ru-RU"/>
        </w:rPr>
        <w:t>методического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обеспечения;</w:t>
      </w:r>
    </w:p>
    <w:p w:rsidR="00546429" w:rsidRPr="00CE5776" w:rsidRDefault="00546429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-сотрудникам Центра, ведущим образовательные программы получить педагогическое образование;</w:t>
      </w:r>
    </w:p>
    <w:p w:rsidR="00415316" w:rsidRPr="00CE5776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>- продолжить работу по заключению</w:t>
      </w:r>
      <w:r w:rsidR="00415316"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договоров на обучение сотрудников с организациями</w:t>
      </w:r>
      <w:r w:rsidRPr="00CE5776">
        <w:rPr>
          <w:rFonts w:ascii="Times New Roman" w:eastAsia="Times New Roman" w:hAnsi="Times New Roman" w:cs="Times New Roman"/>
          <w:color w:val="1E1E1E"/>
          <w:lang w:eastAsia="ru-RU"/>
        </w:rPr>
        <w:t xml:space="preserve"> (предприятиями)</w:t>
      </w:r>
      <w:r w:rsidR="00415316" w:rsidRPr="00CE5776">
        <w:rPr>
          <w:rFonts w:ascii="Times New Roman" w:eastAsia="Times New Roman" w:hAnsi="Times New Roman" w:cs="Times New Roman"/>
          <w:color w:val="1E1E1E"/>
          <w:lang w:eastAsia="ru-RU"/>
        </w:rPr>
        <w:t>;</w:t>
      </w:r>
    </w:p>
    <w:p w:rsidR="00415316" w:rsidRPr="00CE5776" w:rsidRDefault="00415316" w:rsidP="00D379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E1E"/>
          <w:lang w:eastAsia="ru-RU"/>
        </w:rPr>
      </w:pPr>
    </w:p>
    <w:sectPr w:rsidR="00415316" w:rsidRPr="00CE5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CF"/>
    <w:multiLevelType w:val="multilevel"/>
    <w:tmpl w:val="5A84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00E12B1"/>
    <w:multiLevelType w:val="hybridMultilevel"/>
    <w:tmpl w:val="C556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55"/>
    <w:multiLevelType w:val="hybridMultilevel"/>
    <w:tmpl w:val="74963E2A"/>
    <w:lvl w:ilvl="0" w:tplc="0598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381"/>
    <w:multiLevelType w:val="hybridMultilevel"/>
    <w:tmpl w:val="CB10AA56"/>
    <w:lvl w:ilvl="0" w:tplc="118ED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06FDD"/>
    <w:multiLevelType w:val="multilevel"/>
    <w:tmpl w:val="88709E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9246FC"/>
    <w:multiLevelType w:val="hybridMultilevel"/>
    <w:tmpl w:val="CB843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A67BF"/>
    <w:multiLevelType w:val="hybridMultilevel"/>
    <w:tmpl w:val="63483E08"/>
    <w:lvl w:ilvl="0" w:tplc="20386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12EDA"/>
    <w:multiLevelType w:val="hybridMultilevel"/>
    <w:tmpl w:val="F23E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2"/>
    <w:rsid w:val="00002394"/>
    <w:rsid w:val="000245E9"/>
    <w:rsid w:val="000272EB"/>
    <w:rsid w:val="00046802"/>
    <w:rsid w:val="00052AA9"/>
    <w:rsid w:val="0005797B"/>
    <w:rsid w:val="00060B50"/>
    <w:rsid w:val="000755A6"/>
    <w:rsid w:val="000A5312"/>
    <w:rsid w:val="000D3AF3"/>
    <w:rsid w:val="000E2CD3"/>
    <w:rsid w:val="00117EC4"/>
    <w:rsid w:val="00123A94"/>
    <w:rsid w:val="001332BB"/>
    <w:rsid w:val="00133E14"/>
    <w:rsid w:val="00136DA7"/>
    <w:rsid w:val="00141B2B"/>
    <w:rsid w:val="00142309"/>
    <w:rsid w:val="00154A03"/>
    <w:rsid w:val="001600C4"/>
    <w:rsid w:val="00162C03"/>
    <w:rsid w:val="00166668"/>
    <w:rsid w:val="00174030"/>
    <w:rsid w:val="00180168"/>
    <w:rsid w:val="001811DE"/>
    <w:rsid w:val="00191F92"/>
    <w:rsid w:val="001930F3"/>
    <w:rsid w:val="001B70B5"/>
    <w:rsid w:val="001D1C42"/>
    <w:rsid w:val="001F4B91"/>
    <w:rsid w:val="00205FE0"/>
    <w:rsid w:val="002204D9"/>
    <w:rsid w:val="002353BC"/>
    <w:rsid w:val="0024175F"/>
    <w:rsid w:val="002458C9"/>
    <w:rsid w:val="00265123"/>
    <w:rsid w:val="00274553"/>
    <w:rsid w:val="00276E7C"/>
    <w:rsid w:val="0029337B"/>
    <w:rsid w:val="002A1B4F"/>
    <w:rsid w:val="002B29D4"/>
    <w:rsid w:val="002C4ACF"/>
    <w:rsid w:val="002D3AF6"/>
    <w:rsid w:val="003067F2"/>
    <w:rsid w:val="00330E27"/>
    <w:rsid w:val="00332E12"/>
    <w:rsid w:val="00357FA8"/>
    <w:rsid w:val="00364D16"/>
    <w:rsid w:val="00365FE1"/>
    <w:rsid w:val="00367D67"/>
    <w:rsid w:val="003867B5"/>
    <w:rsid w:val="003A3FF4"/>
    <w:rsid w:val="003B54DE"/>
    <w:rsid w:val="003E2827"/>
    <w:rsid w:val="0040305A"/>
    <w:rsid w:val="00415316"/>
    <w:rsid w:val="0046317B"/>
    <w:rsid w:val="004675ED"/>
    <w:rsid w:val="00470787"/>
    <w:rsid w:val="0047639D"/>
    <w:rsid w:val="004764F1"/>
    <w:rsid w:val="00480FFB"/>
    <w:rsid w:val="00484FB9"/>
    <w:rsid w:val="004A52FD"/>
    <w:rsid w:val="004B6699"/>
    <w:rsid w:val="004B737F"/>
    <w:rsid w:val="004C62EE"/>
    <w:rsid w:val="004D2F86"/>
    <w:rsid w:val="004D6E95"/>
    <w:rsid w:val="004E58B1"/>
    <w:rsid w:val="004E663F"/>
    <w:rsid w:val="004F6902"/>
    <w:rsid w:val="0053074A"/>
    <w:rsid w:val="00531082"/>
    <w:rsid w:val="00546429"/>
    <w:rsid w:val="005478EF"/>
    <w:rsid w:val="00553106"/>
    <w:rsid w:val="00554544"/>
    <w:rsid w:val="00591DBE"/>
    <w:rsid w:val="005951FD"/>
    <w:rsid w:val="005A0B8E"/>
    <w:rsid w:val="005A228E"/>
    <w:rsid w:val="005A5365"/>
    <w:rsid w:val="005B69A7"/>
    <w:rsid w:val="005C7919"/>
    <w:rsid w:val="005E5FB4"/>
    <w:rsid w:val="00633AF8"/>
    <w:rsid w:val="00640123"/>
    <w:rsid w:val="00641D57"/>
    <w:rsid w:val="0065606D"/>
    <w:rsid w:val="0067318E"/>
    <w:rsid w:val="006A188E"/>
    <w:rsid w:val="006B295E"/>
    <w:rsid w:val="006C245F"/>
    <w:rsid w:val="006D383D"/>
    <w:rsid w:val="007213A2"/>
    <w:rsid w:val="007459D1"/>
    <w:rsid w:val="0076497F"/>
    <w:rsid w:val="007B3094"/>
    <w:rsid w:val="007D4CB6"/>
    <w:rsid w:val="007D7D58"/>
    <w:rsid w:val="007E0973"/>
    <w:rsid w:val="007F56FC"/>
    <w:rsid w:val="00834DDB"/>
    <w:rsid w:val="0083566D"/>
    <w:rsid w:val="0083589A"/>
    <w:rsid w:val="008824E4"/>
    <w:rsid w:val="008A467C"/>
    <w:rsid w:val="008A79FF"/>
    <w:rsid w:val="008C1402"/>
    <w:rsid w:val="008C177C"/>
    <w:rsid w:val="008E2EC1"/>
    <w:rsid w:val="008E42A9"/>
    <w:rsid w:val="008E4589"/>
    <w:rsid w:val="00901C6B"/>
    <w:rsid w:val="00904AB5"/>
    <w:rsid w:val="00924540"/>
    <w:rsid w:val="0094240F"/>
    <w:rsid w:val="00943074"/>
    <w:rsid w:val="00943C23"/>
    <w:rsid w:val="009476E3"/>
    <w:rsid w:val="0096709A"/>
    <w:rsid w:val="00967C9B"/>
    <w:rsid w:val="00997235"/>
    <w:rsid w:val="009B7968"/>
    <w:rsid w:val="009C1D25"/>
    <w:rsid w:val="009D32AD"/>
    <w:rsid w:val="009D5045"/>
    <w:rsid w:val="009D7CE8"/>
    <w:rsid w:val="009E430D"/>
    <w:rsid w:val="009F6933"/>
    <w:rsid w:val="009F76B6"/>
    <w:rsid w:val="00A03080"/>
    <w:rsid w:val="00A07C99"/>
    <w:rsid w:val="00A406B8"/>
    <w:rsid w:val="00A467F1"/>
    <w:rsid w:val="00A623C9"/>
    <w:rsid w:val="00A65740"/>
    <w:rsid w:val="00A77BC6"/>
    <w:rsid w:val="00A80B15"/>
    <w:rsid w:val="00A846FE"/>
    <w:rsid w:val="00A864A7"/>
    <w:rsid w:val="00A95641"/>
    <w:rsid w:val="00AA27BE"/>
    <w:rsid w:val="00AA52B0"/>
    <w:rsid w:val="00AB16C2"/>
    <w:rsid w:val="00AC1FD0"/>
    <w:rsid w:val="00AF1071"/>
    <w:rsid w:val="00AF5D58"/>
    <w:rsid w:val="00B0323B"/>
    <w:rsid w:val="00B23DE8"/>
    <w:rsid w:val="00B446CA"/>
    <w:rsid w:val="00B47C84"/>
    <w:rsid w:val="00B77691"/>
    <w:rsid w:val="00B944F7"/>
    <w:rsid w:val="00BA3BEE"/>
    <w:rsid w:val="00BB0E71"/>
    <w:rsid w:val="00BC6726"/>
    <w:rsid w:val="00BD013A"/>
    <w:rsid w:val="00BE2BEE"/>
    <w:rsid w:val="00BE7B3A"/>
    <w:rsid w:val="00BF4F6C"/>
    <w:rsid w:val="00C0086B"/>
    <w:rsid w:val="00C12441"/>
    <w:rsid w:val="00C1769D"/>
    <w:rsid w:val="00C20937"/>
    <w:rsid w:val="00C210CA"/>
    <w:rsid w:val="00C4440F"/>
    <w:rsid w:val="00C447F4"/>
    <w:rsid w:val="00C714A5"/>
    <w:rsid w:val="00C75BBC"/>
    <w:rsid w:val="00C8641D"/>
    <w:rsid w:val="00CA21F3"/>
    <w:rsid w:val="00CA72C4"/>
    <w:rsid w:val="00CD1D00"/>
    <w:rsid w:val="00CD448D"/>
    <w:rsid w:val="00CE16EF"/>
    <w:rsid w:val="00CE5776"/>
    <w:rsid w:val="00CF0596"/>
    <w:rsid w:val="00CF640B"/>
    <w:rsid w:val="00D04285"/>
    <w:rsid w:val="00D1752C"/>
    <w:rsid w:val="00D223DB"/>
    <w:rsid w:val="00D2467E"/>
    <w:rsid w:val="00D37936"/>
    <w:rsid w:val="00D61319"/>
    <w:rsid w:val="00D6783A"/>
    <w:rsid w:val="00D91118"/>
    <w:rsid w:val="00DA3A2E"/>
    <w:rsid w:val="00DD58F3"/>
    <w:rsid w:val="00DF32B1"/>
    <w:rsid w:val="00E01DFD"/>
    <w:rsid w:val="00E01EBB"/>
    <w:rsid w:val="00E16DE9"/>
    <w:rsid w:val="00E371D9"/>
    <w:rsid w:val="00E43EFA"/>
    <w:rsid w:val="00E517E6"/>
    <w:rsid w:val="00E600D1"/>
    <w:rsid w:val="00E72120"/>
    <w:rsid w:val="00E75A8D"/>
    <w:rsid w:val="00E978FB"/>
    <w:rsid w:val="00EB17E2"/>
    <w:rsid w:val="00EE1D4F"/>
    <w:rsid w:val="00F0215C"/>
    <w:rsid w:val="00F10656"/>
    <w:rsid w:val="00F1284F"/>
    <w:rsid w:val="00F333CD"/>
    <w:rsid w:val="00F80369"/>
    <w:rsid w:val="00F8191C"/>
    <w:rsid w:val="00FB517F"/>
    <w:rsid w:val="00FB55CE"/>
    <w:rsid w:val="00FB5F25"/>
    <w:rsid w:val="00FC5658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72C0-B230-466A-9D5E-096CE9F2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4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65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64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016">
          <w:marLeft w:val="0"/>
          <w:marRight w:val="0"/>
          <w:marTop w:val="29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3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47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0D74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  <w:div w:id="625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</w:divsChild>
                    </w:div>
                    <w:div w:id="20034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12460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2797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4298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Селянинова Вера Александровна</cp:lastModifiedBy>
  <cp:revision>2</cp:revision>
  <cp:lastPrinted>2020-03-19T12:24:00Z</cp:lastPrinted>
  <dcterms:created xsi:type="dcterms:W3CDTF">2020-03-19T12:25:00Z</dcterms:created>
  <dcterms:modified xsi:type="dcterms:W3CDTF">2020-03-19T12:25:00Z</dcterms:modified>
</cp:coreProperties>
</file>